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3" w:leader="none"/>
        </w:tabs>
        <w:spacing w:lineRule="auto" w:line="240" w:before="0" w:after="0"/>
        <w:jc w:val="center"/>
        <w:rPr/>
      </w:pPr>
      <w:r>
        <w:rPr>
          <w:rStyle w:val="Tlidtranslation"/>
          <w:rFonts w:ascii="Times New Roman" w:hAnsi="Times New Roman"/>
          <w:b/>
          <w:sz w:val="28"/>
          <w:szCs w:val="28"/>
        </w:rPr>
        <w:t xml:space="preserve">Приблизний перелік тем рефератів з дисципліни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«Молекулярна мікробіологія»</w:t>
      </w:r>
    </w:p>
    <w:p>
      <w:pPr>
        <w:pStyle w:val="ListParagraph"/>
        <w:ind w:left="0" w:hanging="0"/>
        <w:rPr/>
      </w:pPr>
      <w:r>
        <w:rPr>
          <w:sz w:val="28"/>
          <w:szCs w:val="28"/>
          <w:lang w:val="uk-UA"/>
        </w:rPr>
        <w:t xml:space="preserve">1. Загальна характеристика і властивості геномів прокаріот. </w:t>
      </w:r>
    </w:p>
    <w:p>
      <w:pPr>
        <w:pStyle w:val="ListParagraph"/>
        <w:ind w:left="0" w:hanging="0"/>
        <w:rPr/>
      </w:pPr>
      <w:r>
        <w:rPr>
          <w:sz w:val="28"/>
          <w:szCs w:val="28"/>
          <w:lang w:val="uk-UA"/>
        </w:rPr>
        <w:t xml:space="preserve">2. Загальна характеристика і властивості геномів грибів. </w:t>
      </w:r>
    </w:p>
    <w:p>
      <w:pPr>
        <w:pStyle w:val="ListParagraph"/>
        <w:ind w:left="0" w:hanging="0"/>
        <w:rPr/>
      </w:pPr>
      <w:r>
        <w:rPr>
          <w:sz w:val="28"/>
          <w:szCs w:val="28"/>
          <w:lang w:val="uk-UA"/>
        </w:rPr>
        <w:t>3. Молекулярні властивості плазмід. Використання в біотехнології та медицині.</w:t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Редуплікації ДНК у прокаріот. </w:t>
        <w:tab/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sz w:val="28"/>
          <w:szCs w:val="28"/>
          <w:lang w:val="uk-UA"/>
        </w:rPr>
        <w:t xml:space="preserve">5.Молекулярна основа процесу рекомбінації на прикладі </w:t>
      </w:r>
      <w:r>
        <w:rPr>
          <w:i/>
          <w:sz w:val="28"/>
          <w:szCs w:val="28"/>
          <w:lang w:val="uk-UA"/>
        </w:rPr>
        <w:t>E.coli</w:t>
      </w:r>
      <w:r>
        <w:rPr>
          <w:sz w:val="28"/>
          <w:szCs w:val="28"/>
          <w:lang w:val="uk-UA"/>
        </w:rPr>
        <w:t xml:space="preserve">. </w:t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sz w:val="28"/>
          <w:szCs w:val="28"/>
          <w:lang w:val="uk-UA"/>
        </w:rPr>
        <w:t xml:space="preserve">6.Загальна характеристика родин рекомбіназ. </w:t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sz w:val="28"/>
          <w:szCs w:val="28"/>
          <w:lang w:val="uk-UA"/>
        </w:rPr>
        <w:t xml:space="preserve">7.Транспозиція. Типи бактеріальних транспозонів. </w:t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sz w:val="28"/>
          <w:szCs w:val="28"/>
          <w:lang w:val="uk-UA"/>
        </w:rPr>
        <w:t>8.Характеристика і механізм процесу транспозиції (на прикладі Tn3, Tn5, Tn10).</w:t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sz w:val="28"/>
          <w:szCs w:val="28"/>
          <w:lang w:val="uk-UA"/>
        </w:rPr>
        <w:t>9. Системи рестрикції-модифікації.  Abi системи.  CRISPR локуси.</w:t>
      </w:r>
    </w:p>
    <w:p>
      <w:pPr>
        <w:pStyle w:val="ListParagraph"/>
        <w:tabs>
          <w:tab w:val="left" w:pos="5715" w:leader="none"/>
        </w:tabs>
        <w:ind w:left="0" w:hanging="0"/>
        <w:rPr/>
      </w:pPr>
      <w:r>
        <w:rPr>
          <w:rStyle w:val="Tlidtranslation"/>
          <w:sz w:val="28"/>
          <w:szCs w:val="28"/>
        </w:rPr>
        <w:t xml:space="preserve">10. Позитивна регуляція транскрипції. </w:t>
      </w:r>
    </w:p>
    <w:p>
      <w:pPr>
        <w:pStyle w:val="Normal"/>
        <w:shd w:val="clear" w:color="auto" w:fill="FFFFFF"/>
        <w:tabs>
          <w:tab w:val="left" w:pos="780" w:leader="none"/>
        </w:tabs>
        <w:spacing w:lineRule="auto" w:line="240" w:before="0" w:after="0"/>
        <w:jc w:val="both"/>
        <w:rPr/>
      </w:pPr>
      <w:r>
        <w:rPr>
          <w:rStyle w:val="Tlidtranslation"/>
          <w:rFonts w:ascii="Times New Roman" w:hAnsi="Times New Roman"/>
          <w:sz w:val="28"/>
          <w:szCs w:val="28"/>
        </w:rPr>
        <w:t xml:space="preserve">11. Деградація мРНК та регуляція цього процесу у бактерій. </w:t>
      </w:r>
    </w:p>
    <w:p>
      <w:pPr>
        <w:pStyle w:val="Normal"/>
        <w:shd w:val="clear" w:color="auto" w:fill="FFFFFF"/>
        <w:tabs>
          <w:tab w:val="left" w:pos="780" w:leader="none"/>
        </w:tabs>
        <w:spacing w:lineRule="auto" w:line="240" w:before="0" w:after="0"/>
        <w:jc w:val="both"/>
        <w:rPr/>
      </w:pPr>
      <w:r>
        <w:rPr>
          <w:rStyle w:val="Tlidtranslation"/>
          <w:rFonts w:ascii="Times New Roman" w:hAnsi="Times New Roman"/>
          <w:sz w:val="28"/>
          <w:szCs w:val="28"/>
        </w:rPr>
        <w:t xml:space="preserve">12. Білок-залежний і РНК-залежний вплив на стабільність РНК. </w:t>
      </w:r>
    </w:p>
    <w:p>
      <w:pPr>
        <w:pStyle w:val="Normal"/>
        <w:shd w:val="clear" w:color="auto" w:fill="FFFFFF"/>
        <w:tabs>
          <w:tab w:val="left" w:pos="780" w:leader="none"/>
        </w:tabs>
        <w:spacing w:lineRule="auto" w:line="240" w:before="0" w:after="0"/>
        <w:jc w:val="both"/>
        <w:rPr/>
      </w:pPr>
      <w:r>
        <w:rPr>
          <w:rStyle w:val="Tlidtranslation"/>
          <w:rFonts w:ascii="Times New Roman" w:hAnsi="Times New Roman"/>
          <w:sz w:val="28"/>
          <w:szCs w:val="28"/>
        </w:rPr>
        <w:t>13.</w:t>
      </w:r>
      <w:r>
        <w:rPr/>
        <w:t xml:space="preserve"> </w:t>
      </w:r>
      <w:r>
        <w:rPr>
          <w:rStyle w:val="Tlidtranslation"/>
          <w:rFonts w:ascii="Times New Roman" w:hAnsi="Times New Roman"/>
          <w:sz w:val="28"/>
          <w:szCs w:val="28"/>
        </w:rPr>
        <w:t>Регуляція активності генів вірулентності у патогенних бактерій (на прикладі холери і системи кворум-сенсинга).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Tlidtranslation">
    <w:name w:val="tlid-translation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</Pages>
  <Words>103</Words>
  <Characters>769</Characters>
  <CharactersWithSpaces>871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2020-03-16T20:10:45Z</dcterms:created>
  <dc:creator/>
  <dc:description/>
  <dc:language>en-US</dc:language>
  <cp:lastModifiedBy/>
  <dcterms:modified xsi:type="dcterms:W3CDTF">2020-03-16T20:11:26Z</dcterms:modified>
  <cp:revision>1</cp:revision>
  <dc:subject/>
  <dc:title/>
</cp:coreProperties>
</file>