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CC" w:rsidRPr="00A305CC" w:rsidRDefault="00A305CC" w:rsidP="00A305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Лекція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A305CC" w:rsidRPr="00A305CC" w:rsidRDefault="00A305CC" w:rsidP="00A305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Тема: Українська козацько-гетьманська держава та її право </w:t>
      </w:r>
    </w:p>
    <w:p w:rsidR="00A305CC" w:rsidRPr="00A305CC" w:rsidRDefault="00A305CC" w:rsidP="00A305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(середина XVII – кінець XVIII ст.)</w:t>
      </w:r>
    </w:p>
    <w:p w:rsidR="00A305CC" w:rsidRPr="00A305CC" w:rsidRDefault="00A305CC" w:rsidP="00A305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План:</w:t>
      </w:r>
    </w:p>
    <w:p w:rsidR="00A305CC" w:rsidRPr="00A305CC" w:rsidRDefault="00A305CC" w:rsidP="00A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Розбудова, суспільно-політичний та адміністративно-територіальний устрій Української козацько-гетьманської держави Богдана Хмельницького середини XVII ст. Судова система.</w:t>
      </w:r>
    </w:p>
    <w:p w:rsidR="00A305CC" w:rsidRPr="00A305CC" w:rsidRDefault="00A305CC" w:rsidP="00A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Зміни у суспільних відносинах. </w:t>
      </w:r>
    </w:p>
    <w:p w:rsidR="00A305CC" w:rsidRPr="00A305CC" w:rsidRDefault="00A305CC" w:rsidP="00A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Правовий статус Української козацько-гетьманської держави та її народу і форма державно-правових зв’язків України з Московією за договором 1654 р.  </w:t>
      </w:r>
    </w:p>
    <w:p w:rsidR="00A305CC" w:rsidRPr="00A305CC" w:rsidRDefault="00A305CC" w:rsidP="00A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Правова система: джерела та основні риси права.</w:t>
      </w:r>
    </w:p>
    <w:p w:rsidR="00A305CC" w:rsidRPr="00A305CC" w:rsidRDefault="00A305CC" w:rsidP="00A3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Головним наслідком Визвольної війни під проводом Б.Хмельницького 1648-1657 років стало створення Української гетьманської держави (Війська Запорізь</w:t>
      </w:r>
      <w:r w:rsidRPr="00A30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softHyphen/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кого), її політичний статус здебільшого визначався успіхами чи невдачами се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softHyphen/>
      </w:r>
      <w:r w:rsidRPr="00A305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лянсько-козацького війська. У разі успіхів на театрі воєнних дій з поляками, Україна виборювала статус близький до незалежності. Однак більшість часу </w:t>
      </w:r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Військо Запорізьке перебувало на правах автономії у складі Речі Посполитої. З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1654 року воно отримало автономний статус у складі Московського царства, уклавши з ним відомі Березневі статті.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 xml:space="preserve">Державний устрій. Впродовж свого існування Українська гетьманська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держава витворила тільки їй притаманні органи центральної та місцевої влади. </w:t>
      </w:r>
      <w:r w:rsidRPr="00A30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Серед них виділялися: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A305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A305C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 w:eastAsia="ru-RU"/>
        </w:rPr>
        <w:t xml:space="preserve">гетьман.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Обирався на довічний термін. Йому належала вища законодавча,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виконавча та судова влада. Затверджував закони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 після їх ухвалення Генеральною </w:t>
      </w:r>
      <w:r w:rsidRPr="00A305C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 w:eastAsia="ru-RU"/>
        </w:rPr>
        <w:t>радою. Очолював збройні сили країни. Вл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 w:eastAsia="ru-RU"/>
        </w:rPr>
        <w:t xml:space="preserve">ада гетьмана не поширювалася на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Слобідську Україну та на Запорізьку Січ.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У нього зосереджувалися функції виконавчого характеру. Він організовував </w:t>
      </w:r>
      <w:r w:rsidRPr="00A30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діяльність центральних органів управління, здійснював контроль і нагляд за орга</w:t>
      </w:r>
      <w:r w:rsidRPr="00A30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softHyphen/>
      </w:r>
      <w:r w:rsidRPr="00A30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нами місцевої влади. Мав право надавати земельні ділянки із державного фонду.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В Українській гетьманській державі не було чіткого розмежування функцій між органами державної влади. Зокрема, повноваження гетьмана часто перекли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softHyphen/>
        <w:t xml:space="preserve">калися з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lastRenderedPageBreak/>
        <w:t>компетенцією Генеральної ради;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A305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A305CC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uk-UA" w:eastAsia="ru-RU"/>
        </w:rPr>
        <w:t xml:space="preserve">Генеральна рада </w:t>
      </w:r>
      <w:r w:rsidRPr="00A305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— це колективний військово-демократичний козацький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орган Гетьманщини, який виконував адміністрати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вні, законодавчі, управлінські,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судові функції. Лише їй належало виняткове пра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во обирати гетьмана, генеральну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старшину, інколи — полковників.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Ініціатива скликання Генеральної ради належала гетьману. Як правило, він відкривав засідання і головував на ньому. Рішення ухвалювалися шляхом голо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softHyphen/>
        <w:t>сування — підкиданням шапок або криком.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Поступово компетенція Генеральної ради звужувалася, а до кінця XVII ст. її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значення як центрального органу влади зовсім занепало;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A305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A305CC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uk-UA" w:eastAsia="ru-RU"/>
        </w:rPr>
        <w:t xml:space="preserve">Старшинська    рада </w:t>
      </w:r>
      <w:r w:rsidRPr="00A305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—    своєрідний    постійно    діючий    станово-</w:t>
      </w:r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представницький орган, який спочатку функціонував паралельно з Генеральною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радою, а з кінця XVII — поч. XVIII ст. перебрав на себе її повноваження.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Старшинські ради виконували дорадчі функції. 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ab/>
        <w:t xml:space="preserve">Полково-сотенна система управління. Адміністративна реформа 1648 року, в основу якої покладався полково-сотенний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устрій козацького війська, заве</w:t>
      </w:r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ршеного вигляду набула за </w:t>
      </w:r>
      <w:proofErr w:type="spellStart"/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Зборівською</w:t>
      </w:r>
      <w:proofErr w:type="spellEnd"/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угодою 1649 року. За її умовами всі урядові посади на території Чернігівського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, Київського, Брацлавського воє</w:t>
      </w:r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водств, що відійшли під юрисдикцію Війська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Запорізького, мали обіймати пра</w:t>
      </w:r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вославні шляхтичі. Відтак українці отримали свою суверенну владу, тобто той атрибут державності, якого так не вистачало Війську Запорізькому.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ab/>
        <w:t>Реформа поділила територію зазначених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оєводств на окремі адміністрати</w:t>
      </w:r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вні округи, що називалися полками. Командува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ч значного армійського підрозділу — полковник</w:t>
      </w:r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одночасно очолював адміністративний округ, що отримав ідентичну назву — полк. Таким чином, полко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вники ставали не тільки команду</w:t>
      </w:r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вачами військових одиниць, а й головами ад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міністрацій, управляючими фінан</w:t>
      </w:r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сами, вищою судовою інстанцією у своєму окру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зі. Кожен полк іменувався за на</w:t>
      </w:r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звою міста чи містечка, де зосереджувалася полкова адміністрація, до складу якої входили полковник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и, полкова старшина, канцелярія,</w:t>
      </w:r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діюча палата — колегія генеральної старшини. Нижня — стар</w:t>
      </w:r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softHyphen/>
        <w:t>шинські з'їзди, скликалася двічі на рік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— на Різдво Христове та Покрову. Засі</w:t>
      </w:r>
      <w:r w:rsidRPr="00A30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softHyphen/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дання проводилося у гетьманській резиденції, на них головував сам гетьман. 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lastRenderedPageBreak/>
        <w:tab/>
        <w:t>Суди, що діяли в Гетьманщині після виступу Б.Хмельницького, можна умовно поділити на: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суди сільських отаманів — вважалися судами першої інстанції. Діяли 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складі колегії, на засіданнях головував сільськ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ий отаман. Вирішували дрібні ци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вільні та кримінальні справи місцевих жителів та осіб, котрі здійснили злочин 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території села;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сотенні суди проводили свої засідання колегіально в сотенних містах.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Суд розглядав цивільні та тяжкі кримінальні справи, а також ті, в яких однією із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сторін виступали представники сільської старшини;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полкові суди — діяли як суди першої інстанції для козацької, сотенної 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полкової старшини. Суд очолював полковник,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в засіданнях брали участь полко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вий суддя, представники полкової та значкової старшини. Здійснюва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ли судочин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ство за кримінальними справами, за які передбачалася смертна кара;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генеральний військовий суд діяв як суд пе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ршої інстанції у справах генера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льної старшини, полковників, бунчукових това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ришів. До його компетенції нале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жали земельні спори, які вирішувалися признач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еними із числа членів суду комі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сарами з виїздом на місце спору;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генеральна військова канцелярія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— з X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V11I ст. стала апеляційною уста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новою на вироки генерального військового суду у політичних та кримінальних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справах. Очолював суд гетьман, який признач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ав членів суду виключно із пред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ставників генеральної старшини;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суд гетьмана вважався найвищим судом Гетьманщини, мав необмежену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компетенцію. Міг розглянути будь-яку справу нижчих судів. Вирок не підлягав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оскарженню.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Крім указаних, на території Гетьманщини 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кож діяли міські суди, які поді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лялися на суди магістратські і ратушні. Магістратськими називалися суди, які здійснювали судочинство у містах, заснованих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за магдебурзьким правом. Апеля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ційною установою для даних судів був Генерал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ьний військовий суд. Діяли коле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гіально у складі не менше 5 осіб: бурмістра, лавників, райців та присяжних.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Ратушні суди діяли у містах і містечках, які не мали права магдебурзького самоврядування. Підпорядковувалися козацькій старшині. Розглядалися різн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о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манітні справи міщан, а також спори між ним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и та козаками. Апеляційною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lastRenderedPageBreak/>
        <w:t>устан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овою для ратушних судів був полковий суд.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Окрім охарактеризованих вище судів, на 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ериторії Гетьманщини діяли сіль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ські суди, </w:t>
      </w:r>
      <w:proofErr w:type="spellStart"/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доменіальні</w:t>
      </w:r>
      <w:proofErr w:type="spellEnd"/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та церковні суди: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сільський суд або суд війта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— розв'язував дрібні цивільні та кримінальні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справи. До складу суду входили війт як його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олова, вибрані представники міс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цевого селянства, інколи священики та управляючий власника села;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</w:r>
      <w:proofErr w:type="spellStart"/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доменіальні</w:t>
      </w:r>
      <w:proofErr w:type="spellEnd"/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суди — це суди землевласників або їх управляю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чих над за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лежним селянським населенням. У судах Гетьманщини, на відміну від польсько-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ли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товських судів, засідання проводилося колегіально за участі представників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громади. Розглядалися дрібні кримінальні та цивільні справи;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церковні суди за доби Гетьманщини мали обмеженішу компетенцію, ніж 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попередній період. їм підлягали справи внутрішнього церковного життя, а також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питання про шлюб та сім'ю.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Суб'єктами судового процесу у Гетьманщині були чоловіки з 18 років та жінки з 14 — літнього віку. Сторонами не мали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права виступати також невільни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ки, позбавлені честі, піддані церковній анафемі. Від імені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одружених жінок в су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ді виступали їхні чоловіки, за неодружених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— батьки. Лише вдови могли пред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ставляти в суді свої інтереси та інтереси власних дітей.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Суддями у Гетьманщині виступали козаць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кі старшини та міщани, що досяг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ли 21-річного віку, але не старші 70-ти років, котрі мали певний майновий ценз.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Не могли бути суддями жінки, а також проклят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і церквою, нехрещені, а з націо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нальних меншин євреї та цигани.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Судовий процес у Гетьманщині розпочинався з подачі письмової або усної заяви про злочин чи позову з цивільної справи.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У поданні необхідно було вказа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ти причини спору, прізвища свідків, а також, по можливості, подати докази по справі. У свою чергу суд мав з'ясувати відповідність поданої заяви процесуальним нормам і лише після цього направляв обом сторонам виклики на судове засідання. В разі, якщо відповідач двічі не з'являвся на судове засідання, вирок виносився без його участі. Якщо ж не з'являвся позовник, то він програвав справу вже на першому засіданні.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 xml:space="preserve">До смертної кари особа засуджувалася тільки після ухвалення вироку гетьманом. Вона не застосовувалася до вагітних жінок, неповнолітніх хлопців віком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lastRenderedPageBreak/>
        <w:t>до 16, а до дівчат — до 13 років. Якщо засудженого до смерті неодружена дівчина обирала собі за чоловіка — він залишався живим.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Страта проводилася публічно, в місцях найбільшого скупчення людей, як правило, біля ганебного стовпа. Тут виконувалися також калічницькі покарання — відрізання вуха, носа, ноги, руки, побиття батогом.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Докази. В епоху Гетьманщини доказами в суді вважалися: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особисте зізнання однієї із сторін. Мало найвищу доказову силу;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публічні та приватні письмові докуме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нти. При поданні публічних (дер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жавних) документів жоден інший доказ не міг спростувати їх;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свідки як і в попередню епоху поділялися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на державних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возний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) і приват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них. Свідком могла бути особа, яка досягла 14-літнього віку в цивільних і 20-ти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років — у кримінальних справах. Закон встановлював і верхню вікову межу для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свідків. В суді не могла свідчити особа, яка дося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гла 70 років. Жінки і нехристия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ни допускалися до свідчення лише тоді, коли не було інших очевидців;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</w:r>
      <w:proofErr w:type="spellStart"/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-присяга</w:t>
      </w:r>
      <w:proofErr w:type="spellEnd"/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дозволялася судом у разі відсутності інших доказів по справі. її складала одна сторона, яку суд вважав ближчою до істини. Інколи питання про те, хто мав присягати, вирішував жереб. Як правило, присяга складалася у церкві на Євангелії або на суді в присутності священи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ка. Вона мала вирішальну доказо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ву силу;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</w:r>
      <w:proofErr w:type="spellStart"/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-огляд</w:t>
      </w:r>
      <w:proofErr w:type="spellEnd"/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місця злочину й речові докази;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</w:r>
      <w:proofErr w:type="spellStart"/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-зізнання</w:t>
      </w:r>
      <w:proofErr w:type="spellEnd"/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під час тортур. Порівняно з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опередньою епохою тортури засто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совувалися значно рідше, лише в справах про 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яжкі злочини. Для зізнання підо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зрюваного застосовувалися такі форми, як биття батогом, припікання розпеченим залізом, розтягування суглобів ніг та рук.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Від катування звільнялися шлях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тичі та священики, знатні особи, літні люди віком понад 70 років, малолітні та вагітні жінки;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</w:r>
      <w:proofErr w:type="spellStart"/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-висновки</w:t>
      </w:r>
      <w:proofErr w:type="spellEnd"/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експертів. У ролі експертів виступали, як правило, професіонали різних сфер життя та галузей економіки. За необхідн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ості вони подавали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обгрун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товані</w:t>
      </w:r>
      <w:proofErr w:type="spellEnd"/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висновки на запит суду. Інститут судово-медичних експертів офіційно був запроваджений лише в 70-х роках XVIII ст.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Джерела права. Створення Української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гетьманської держави стимулюва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ло розвиток національної системи права. Поруч із законами та іншими нормативно-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lastRenderedPageBreak/>
        <w:t>правовими актами Московського царства, Речі Посполитої стали ширше використовуватися джерела права місцевого, ук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раїнського походження. Схематич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но увесь комплекс можна зобразити наступним чином: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Найпоширенішим джерелом права Української гетьманської держави були нормативно-правові акти гетьманської влади. До них належали: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 xml:space="preserve">універсали — офіційні документи, що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видавалися гетьманом або генера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льною канцелярією від його імені;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ордери — акти гетьманської влади, спрямовані на вирішення конкретних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суспільних, економічних, політичних питань;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інструкціями визначалися повноваження, права та обов'язки службовців,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порядок діяльності судових органів, порядок виконання рішень вищих органів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державної влади;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декретами, грамотами, листами геть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ман інформував населення про ух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валення законів, їх зміст та порядок набуття ними чинності.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Поряд із нормативно-правовими актами, що діяли в Україні, були підзаконні акти Генеральної військової канцелярії. Ними впроваджувалися в дію акти вищих органів державної влади;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-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джерела церковного права регулювали внутрішні церковні правовідносини.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Разом із законодавчими актами Українсь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кої гетьманської держави, джере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лом права були міжнародні договори, серед яких виділялися: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</w:r>
      <w:proofErr w:type="spellStart"/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Зборівська</w:t>
      </w:r>
      <w:proofErr w:type="spellEnd"/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угода 1649 року, укладена Україною з Річчю Посполитою. За її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умовами кількість реєстрового козацького війська мала становити 40 тис. осіб.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Під юрисдикцію козацької адміністрації переходили Брацлавське, Київське 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Чернігівське воєводства, всі посади в яких 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ли обіймати православні христия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ни. Перебування польських військ на цих територіях заборонялося. Селяни, які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не потрапили до козацького реєстру, мали повернутися у кріпацтво. Повстанцям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гарантувалася повна амністія. Київському митрополиту обіцяно місце в сенаті, 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питання про Берестейську унію мав розв'язати вальний сейм. Католики не мали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права проживати в українських містах;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>Білоцерківський договір 1651 року, 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кладений Україною з Річчю Поспо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литою.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lastRenderedPageBreak/>
        <w:t>За його умовами козацький реєстр зменшувався до 20 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с. осіб. Юрисди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кція козацької адміністрації значно звужувалася і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поширювалася лише на тери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торію Київського воєводства. На цих землях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заборонялося дислокуватися поль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ським військам. Не вписані до реєстру козаки мали повернутися у підданство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шляхти. Гетьман підпорядковувався польському королю та позбавлявся права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зносин з урядами зарубіжних країн. Виборність гетьмана скасовувалася;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Раднотський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договір1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656 року — угода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між Військом Запорізьким, Швеці </w:t>
      </w:r>
      <w:proofErr w:type="spellStart"/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єю</w:t>
      </w:r>
      <w:proofErr w:type="spellEnd"/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, Трансільванією, Бранденбургом про військовий союз для боротьби з Польщею.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Вперше на міжнародному рівні визнано існування Української держави у межах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території, визволеної Богданом Хмельницьким внаслідок Визвольної війни;</w:t>
      </w:r>
    </w:p>
    <w:p w:rsidR="00A305CC" w:rsidRPr="00A305CC" w:rsidRDefault="00A305CC" w:rsidP="00A305C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•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ab/>
        <w:t xml:space="preserve">Гадяцька угода 1658 року, укладена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І.Виговським з Польщею про утво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рення нового державного федеративного союзу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Польщі, Литви та князівства Ру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ського, до якого входили Чернігівське, Брацлавс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ьке та Київське воєводства. Згі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дно з умовами договору, Україна отримувала право мати своїх урядовців, власну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державну скарбницю, власну грошову систему, судочинство з діловодством українською мовою, 40-тисячну армію. Законодавча влада мала належати своєрідним національним зборам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— народній раді. Виконавча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 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— гетьманові, найвища судова — трибуналу. В усіх трьох державах скасовувалася Берестейська це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р</w:t>
      </w:r>
      <w:r w:rsidRPr="00A305C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ковна унія.</w:t>
      </w:r>
      <w:bookmarkStart w:id="0" w:name="_GoBack"/>
      <w:bookmarkEnd w:id="0"/>
    </w:p>
    <w:sectPr w:rsidR="00A305CC" w:rsidRPr="00A305CC" w:rsidSect="00B02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DEC168"/>
    <w:lvl w:ilvl="0">
      <w:numFmt w:val="bullet"/>
      <w:lvlText w:val="*"/>
      <w:lvlJc w:val="left"/>
    </w:lvl>
  </w:abstractNum>
  <w:abstractNum w:abstractNumId="1">
    <w:nsid w:val="07B01B84"/>
    <w:multiLevelType w:val="singleLevel"/>
    <w:tmpl w:val="64BCEC54"/>
    <w:lvl w:ilvl="0">
      <w:start w:val="1"/>
      <w:numFmt w:val="decimal"/>
      <w:lvlText w:val="%1."/>
      <w:legacy w:legacy="1" w:legacySpace="0" w:legacyIndent="187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63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58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135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12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115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168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0"/>
    <w:lvlOverride w:ilvl="0">
      <w:lvl w:ilvl="0">
        <w:numFmt w:val="bullet"/>
        <w:lvlText w:val=""/>
        <w:legacy w:legacy="1" w:legacySpace="0" w:legacyIndent="129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154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8A"/>
    <w:rsid w:val="00123FF3"/>
    <w:rsid w:val="0033458A"/>
    <w:rsid w:val="00A305CC"/>
    <w:rsid w:val="00B02860"/>
    <w:rsid w:val="00C67D3B"/>
    <w:rsid w:val="00E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Нетбук</dc:creator>
  <cp:keywords/>
  <dc:description/>
  <cp:lastModifiedBy>Нетбук</cp:lastModifiedBy>
  <cp:revision>4</cp:revision>
  <dcterms:created xsi:type="dcterms:W3CDTF">2018-02-04T15:29:00Z</dcterms:created>
  <dcterms:modified xsi:type="dcterms:W3CDTF">2020-03-20T22:00:00Z</dcterms:modified>
</cp:coreProperties>
</file>