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2C2" w:rsidRDefault="00BA02C2" w:rsidP="00BA02C2">
      <w:pPr>
        <w:jc w:val="center"/>
        <w:rPr>
          <w:b/>
          <w:color w:val="000000"/>
          <w:sz w:val="28"/>
          <w:szCs w:val="28"/>
        </w:rPr>
      </w:pPr>
      <w:r>
        <w:rPr>
          <w:b/>
          <w:smallCaps/>
          <w:color w:val="000000"/>
          <w:sz w:val="28"/>
          <w:szCs w:val="28"/>
        </w:rPr>
        <w:t>Теми рефератів</w:t>
      </w:r>
    </w:p>
    <w:p w:rsidR="00BA02C2" w:rsidRPr="00FE7B74" w:rsidRDefault="00BA02C2" w:rsidP="00BA02C2">
      <w:pPr>
        <w:pStyle w:val="a4"/>
        <w:spacing w:after="0"/>
        <w:ind w:firstLine="709"/>
        <w:jc w:val="both"/>
        <w:rPr>
          <w:sz w:val="28"/>
          <w:szCs w:val="28"/>
        </w:rPr>
      </w:pPr>
      <w:r w:rsidRPr="00FE7B74">
        <w:rPr>
          <w:sz w:val="28"/>
          <w:szCs w:val="28"/>
        </w:rPr>
        <w:t>1.Використання прав інтелектуальної власності та природних ресурсів</w:t>
      </w:r>
    </w:p>
    <w:p w:rsidR="00BA02C2" w:rsidRPr="00FE7B74" w:rsidRDefault="00BA02C2" w:rsidP="00BA02C2">
      <w:pPr>
        <w:pStyle w:val="a4"/>
        <w:spacing w:after="0"/>
        <w:ind w:firstLine="709"/>
        <w:jc w:val="both"/>
        <w:rPr>
          <w:sz w:val="28"/>
          <w:szCs w:val="28"/>
        </w:rPr>
      </w:pPr>
      <w:r w:rsidRPr="00FE7B74">
        <w:rPr>
          <w:sz w:val="28"/>
          <w:szCs w:val="28"/>
        </w:rPr>
        <w:t>2. Відповідальність за недобросовісну конкуренцію</w:t>
      </w:r>
    </w:p>
    <w:p w:rsidR="00BA02C2" w:rsidRPr="00FE7B74" w:rsidRDefault="00BA02C2" w:rsidP="00BA02C2">
      <w:pPr>
        <w:pStyle w:val="a4"/>
        <w:spacing w:after="0"/>
        <w:ind w:firstLine="709"/>
        <w:jc w:val="both"/>
        <w:rPr>
          <w:sz w:val="28"/>
          <w:szCs w:val="28"/>
        </w:rPr>
      </w:pPr>
      <w:r w:rsidRPr="00FE7B74">
        <w:rPr>
          <w:sz w:val="28"/>
          <w:szCs w:val="28"/>
        </w:rPr>
        <w:t>3.Продаж майна в процедурі банкрутства</w:t>
      </w:r>
    </w:p>
    <w:p w:rsidR="00BA02C2" w:rsidRPr="00FE7B74" w:rsidRDefault="00BA02C2" w:rsidP="00BA02C2">
      <w:pPr>
        <w:pStyle w:val="a4"/>
        <w:spacing w:after="0"/>
        <w:ind w:firstLine="709"/>
        <w:jc w:val="both"/>
        <w:rPr>
          <w:sz w:val="28"/>
          <w:szCs w:val="28"/>
        </w:rPr>
      </w:pPr>
      <w:r w:rsidRPr="00FE7B74">
        <w:rPr>
          <w:sz w:val="28"/>
          <w:szCs w:val="28"/>
        </w:rPr>
        <w:t>4.Мирова угода та закриття провадження у справі про банкрутство</w:t>
      </w:r>
    </w:p>
    <w:p w:rsidR="00BA02C2" w:rsidRPr="00FE7B74" w:rsidRDefault="00BA02C2" w:rsidP="00BA02C2">
      <w:pPr>
        <w:pStyle w:val="a4"/>
        <w:spacing w:after="0"/>
        <w:ind w:firstLine="709"/>
        <w:jc w:val="both"/>
        <w:rPr>
          <w:b/>
          <w:sz w:val="28"/>
          <w:szCs w:val="28"/>
        </w:rPr>
      </w:pPr>
      <w:r w:rsidRPr="00FE7B74">
        <w:rPr>
          <w:sz w:val="28"/>
          <w:szCs w:val="28"/>
        </w:rPr>
        <w:t>5. Розпорядник майна, керуючий санацією, ліквідатор</w:t>
      </w:r>
    </w:p>
    <w:p w:rsidR="00BA02C2" w:rsidRPr="00FE7B74" w:rsidRDefault="00BA02C2" w:rsidP="00BA02C2">
      <w:pPr>
        <w:pStyle w:val="a4"/>
        <w:spacing w:after="0"/>
        <w:ind w:firstLine="709"/>
        <w:jc w:val="both"/>
        <w:rPr>
          <w:sz w:val="28"/>
          <w:szCs w:val="28"/>
        </w:rPr>
      </w:pPr>
      <w:r w:rsidRPr="00FE7B74">
        <w:rPr>
          <w:sz w:val="28"/>
          <w:szCs w:val="28"/>
        </w:rPr>
        <w:t>6.Саморегулівна організація арбітражних керуючих, функції та повноваження</w:t>
      </w:r>
    </w:p>
    <w:p w:rsidR="00BA02C2" w:rsidRPr="00FE7B74" w:rsidRDefault="00BA02C2" w:rsidP="00BA02C2">
      <w:pPr>
        <w:pStyle w:val="a4"/>
        <w:spacing w:after="0"/>
        <w:ind w:firstLine="709"/>
        <w:rPr>
          <w:b/>
          <w:sz w:val="28"/>
          <w:szCs w:val="28"/>
        </w:rPr>
      </w:pPr>
      <w:r w:rsidRPr="00FE7B74">
        <w:rPr>
          <w:sz w:val="28"/>
          <w:szCs w:val="28"/>
        </w:rPr>
        <w:t>7. Розгляд господарським судом справ про банкрутство фізичної особи</w:t>
      </w:r>
    </w:p>
    <w:p w:rsidR="00BA02C2" w:rsidRPr="00FE7B74" w:rsidRDefault="00BA02C2" w:rsidP="00BA02C2">
      <w:pPr>
        <w:pStyle w:val="a4"/>
        <w:spacing w:after="0"/>
        <w:ind w:firstLine="709"/>
        <w:jc w:val="both"/>
        <w:rPr>
          <w:b/>
          <w:sz w:val="28"/>
          <w:szCs w:val="28"/>
        </w:rPr>
      </w:pPr>
      <w:r w:rsidRPr="00FE7B74">
        <w:rPr>
          <w:sz w:val="28"/>
          <w:szCs w:val="28"/>
        </w:rPr>
        <w:t xml:space="preserve">8.Процедура банкрутства, </w:t>
      </w:r>
      <w:proofErr w:type="spellStart"/>
      <w:r w:rsidRPr="00FE7B74">
        <w:rPr>
          <w:sz w:val="28"/>
          <w:szCs w:val="28"/>
        </w:rPr>
        <w:t>пов</w:t>
      </w:r>
      <w:proofErr w:type="spellEnd"/>
      <w:r w:rsidRPr="00FE7B74">
        <w:rPr>
          <w:sz w:val="28"/>
          <w:szCs w:val="28"/>
          <w:lang w:val="ru-RU"/>
        </w:rPr>
        <w:t>’</w:t>
      </w:r>
      <w:proofErr w:type="spellStart"/>
      <w:r w:rsidRPr="00FE7B74">
        <w:rPr>
          <w:sz w:val="28"/>
          <w:szCs w:val="28"/>
        </w:rPr>
        <w:t>язана</w:t>
      </w:r>
      <w:proofErr w:type="spellEnd"/>
      <w:r w:rsidRPr="00FE7B74">
        <w:rPr>
          <w:sz w:val="28"/>
          <w:szCs w:val="28"/>
        </w:rPr>
        <w:t xml:space="preserve"> з іноземною процедурою банкрутства</w:t>
      </w:r>
    </w:p>
    <w:p w:rsidR="00BA02C2" w:rsidRPr="00FE7B74" w:rsidRDefault="00BA02C2" w:rsidP="00BA02C2">
      <w:pPr>
        <w:pStyle w:val="a4"/>
        <w:spacing w:after="0"/>
        <w:ind w:firstLine="709"/>
        <w:jc w:val="both"/>
        <w:rPr>
          <w:sz w:val="28"/>
          <w:szCs w:val="28"/>
        </w:rPr>
      </w:pPr>
      <w:r w:rsidRPr="00FE7B74">
        <w:rPr>
          <w:sz w:val="28"/>
          <w:szCs w:val="28"/>
        </w:rPr>
        <w:t>9.Державне регулювання зовнішньоекономічної діяльності</w:t>
      </w:r>
    </w:p>
    <w:p w:rsidR="00BA02C2" w:rsidRPr="00FE7B74" w:rsidRDefault="00BA02C2" w:rsidP="00BA02C2">
      <w:pPr>
        <w:pStyle w:val="a4"/>
        <w:spacing w:after="0"/>
        <w:ind w:firstLine="709"/>
        <w:jc w:val="both"/>
        <w:rPr>
          <w:sz w:val="28"/>
          <w:szCs w:val="28"/>
        </w:rPr>
      </w:pPr>
      <w:r w:rsidRPr="00FE7B74">
        <w:rPr>
          <w:sz w:val="28"/>
          <w:szCs w:val="28"/>
        </w:rPr>
        <w:t>10.Валютні рахунки. Валютна виручка</w:t>
      </w:r>
    </w:p>
    <w:p w:rsidR="00BA02C2" w:rsidRPr="00FE7B74" w:rsidRDefault="00BA02C2" w:rsidP="00BA02C2">
      <w:pPr>
        <w:pStyle w:val="a4"/>
        <w:spacing w:after="0"/>
        <w:ind w:firstLine="709"/>
        <w:jc w:val="both"/>
        <w:rPr>
          <w:sz w:val="28"/>
          <w:szCs w:val="28"/>
        </w:rPr>
      </w:pPr>
      <w:r w:rsidRPr="00FE7B74">
        <w:rPr>
          <w:sz w:val="28"/>
          <w:szCs w:val="28"/>
        </w:rPr>
        <w:t>11. Іноземні інвестиції</w:t>
      </w:r>
    </w:p>
    <w:p w:rsidR="00BA02C2" w:rsidRPr="00FE7B74" w:rsidRDefault="00BA02C2" w:rsidP="00BA02C2">
      <w:pPr>
        <w:pStyle w:val="a4"/>
        <w:spacing w:after="0"/>
        <w:ind w:firstLine="709"/>
        <w:jc w:val="both"/>
        <w:rPr>
          <w:b/>
          <w:sz w:val="28"/>
          <w:szCs w:val="28"/>
        </w:rPr>
      </w:pPr>
      <w:r w:rsidRPr="00FE7B74">
        <w:rPr>
          <w:sz w:val="28"/>
          <w:szCs w:val="28"/>
        </w:rPr>
        <w:t xml:space="preserve">12 Галузі та види господарської діяльності    </w:t>
      </w:r>
    </w:p>
    <w:p w:rsidR="00BA02C2" w:rsidRPr="00FE7B74" w:rsidRDefault="00BA02C2" w:rsidP="00BA02C2">
      <w:pPr>
        <w:pStyle w:val="a4"/>
        <w:spacing w:after="0"/>
        <w:ind w:firstLine="709"/>
        <w:jc w:val="both"/>
        <w:rPr>
          <w:b/>
          <w:sz w:val="28"/>
          <w:szCs w:val="28"/>
        </w:rPr>
      </w:pPr>
      <w:r w:rsidRPr="00FE7B74">
        <w:rPr>
          <w:sz w:val="28"/>
          <w:szCs w:val="28"/>
        </w:rPr>
        <w:t>13 Господарсько-торгівельна діяльність. Агентські відносини у сфері господарювання. Перевезення вантажів.</w:t>
      </w:r>
    </w:p>
    <w:p w:rsidR="00BA02C2" w:rsidRPr="00FE7B74" w:rsidRDefault="00BA02C2" w:rsidP="00BA02C2">
      <w:pPr>
        <w:pStyle w:val="a4"/>
        <w:spacing w:after="0"/>
        <w:ind w:firstLine="709"/>
        <w:jc w:val="both"/>
        <w:rPr>
          <w:sz w:val="28"/>
          <w:szCs w:val="28"/>
        </w:rPr>
      </w:pPr>
      <w:r w:rsidRPr="00FE7B74">
        <w:rPr>
          <w:sz w:val="28"/>
          <w:szCs w:val="28"/>
        </w:rPr>
        <w:t>14</w:t>
      </w:r>
      <w:r w:rsidRPr="00FE7B74">
        <w:rPr>
          <w:b/>
          <w:i/>
          <w:sz w:val="28"/>
          <w:szCs w:val="28"/>
        </w:rPr>
        <w:t xml:space="preserve"> </w:t>
      </w:r>
      <w:r w:rsidRPr="00FE7B74">
        <w:rPr>
          <w:sz w:val="28"/>
          <w:szCs w:val="28"/>
        </w:rPr>
        <w:t xml:space="preserve">Банківські операції. </w:t>
      </w:r>
    </w:p>
    <w:p w:rsidR="00BA02C2" w:rsidRPr="00FE7B74" w:rsidRDefault="00E32391" w:rsidP="00BA02C2">
      <w:pPr>
        <w:pStyle w:val="a6"/>
        <w:ind w:firstLine="708"/>
        <w:jc w:val="both"/>
        <w:rPr>
          <w:color w:val="000000" w:themeColor="text1"/>
          <w:sz w:val="28"/>
          <w:szCs w:val="28"/>
        </w:rPr>
      </w:pPr>
      <w:hyperlink r:id="rId4" w:anchor="n334" w:tooltip="Стаття 15." w:history="1">
        <w:r w:rsidR="00BA02C2" w:rsidRPr="00FE7B74">
          <w:rPr>
            <w:bCs/>
            <w:color w:val="000000" w:themeColor="text1"/>
            <w:sz w:val="28"/>
            <w:szCs w:val="28"/>
          </w:rPr>
          <w:t>15</w:t>
        </w:r>
        <w:r w:rsidR="00BA02C2" w:rsidRPr="00FE7B74">
          <w:rPr>
            <w:b/>
            <w:bCs/>
            <w:color w:val="000000" w:themeColor="text1"/>
            <w:sz w:val="28"/>
            <w:szCs w:val="28"/>
          </w:rPr>
          <w:t>.</w:t>
        </w:r>
        <w:r w:rsidR="00BA02C2" w:rsidRPr="00FE7B74">
          <w:rPr>
            <w:color w:val="000000" w:themeColor="text1"/>
            <w:sz w:val="28"/>
            <w:szCs w:val="28"/>
          </w:rPr>
          <w:t>Страхування зовнішньоекономічних операцій</w:t>
        </w:r>
      </w:hyperlink>
    </w:p>
    <w:p w:rsidR="00BA02C2" w:rsidRPr="00FE7B74" w:rsidRDefault="00BA02C2" w:rsidP="00BA02C2">
      <w:pPr>
        <w:pStyle w:val="a4"/>
        <w:spacing w:after="0"/>
        <w:ind w:firstLine="709"/>
        <w:jc w:val="both"/>
        <w:rPr>
          <w:sz w:val="28"/>
          <w:szCs w:val="28"/>
        </w:rPr>
      </w:pPr>
      <w:r w:rsidRPr="00FE7B74">
        <w:rPr>
          <w:sz w:val="28"/>
          <w:szCs w:val="28"/>
        </w:rPr>
        <w:t>16 Аудит. Комерційна концесія</w:t>
      </w:r>
    </w:p>
    <w:p w:rsidR="00BA02C2" w:rsidRPr="00FE7B74" w:rsidRDefault="00E32391" w:rsidP="00BA02C2">
      <w:pPr>
        <w:pStyle w:val="a6"/>
        <w:jc w:val="both"/>
        <w:rPr>
          <w:color w:val="000000" w:themeColor="text1"/>
          <w:sz w:val="28"/>
          <w:szCs w:val="28"/>
        </w:rPr>
      </w:pPr>
      <w:hyperlink r:id="rId5" w:anchor="n565" w:tooltip="Стаття 33." w:history="1">
        <w:r w:rsidR="00BA02C2">
          <w:rPr>
            <w:b/>
            <w:bCs/>
            <w:color w:val="000000" w:themeColor="text1"/>
            <w:sz w:val="28"/>
            <w:szCs w:val="28"/>
          </w:rPr>
          <w:t xml:space="preserve">          </w:t>
        </w:r>
        <w:r w:rsidR="00BA02C2" w:rsidRPr="00FE7B74">
          <w:rPr>
            <w:bCs/>
            <w:color w:val="000000" w:themeColor="text1"/>
            <w:sz w:val="28"/>
            <w:szCs w:val="28"/>
          </w:rPr>
          <w:t>17</w:t>
        </w:r>
        <w:r w:rsidR="00BA02C2" w:rsidRPr="00FE7B74">
          <w:rPr>
            <w:b/>
            <w:bCs/>
            <w:color w:val="000000" w:themeColor="text1"/>
            <w:sz w:val="28"/>
            <w:szCs w:val="28"/>
          </w:rPr>
          <w:t>.</w:t>
        </w:r>
        <w:r w:rsidR="00BA02C2">
          <w:rPr>
            <w:b/>
            <w:bCs/>
            <w:color w:val="000000" w:themeColor="text1"/>
            <w:sz w:val="28"/>
            <w:szCs w:val="28"/>
          </w:rPr>
          <w:t xml:space="preserve"> </w:t>
        </w:r>
        <w:r w:rsidR="00BA02C2" w:rsidRPr="00FE7B74">
          <w:rPr>
            <w:color w:val="000000" w:themeColor="text1"/>
            <w:sz w:val="28"/>
            <w:szCs w:val="28"/>
          </w:rPr>
          <w:t>Види та форми відповідальності у зовнішньоекономічній діяльності</w:t>
        </w:r>
      </w:hyperlink>
    </w:p>
    <w:p w:rsidR="00BA02C2" w:rsidRPr="00FE7B74" w:rsidRDefault="00BA02C2" w:rsidP="00BA02C2">
      <w:pPr>
        <w:pStyle w:val="a6"/>
        <w:jc w:val="both"/>
        <w:rPr>
          <w:color w:val="000000" w:themeColor="text1"/>
          <w:sz w:val="28"/>
          <w:szCs w:val="28"/>
        </w:rPr>
      </w:pPr>
      <w:r w:rsidRPr="00FE7B74">
        <w:rPr>
          <w:color w:val="000000" w:themeColor="text1"/>
          <w:sz w:val="28"/>
          <w:szCs w:val="28"/>
        </w:rPr>
        <w:tab/>
        <w:t>18.</w:t>
      </w:r>
      <w:r>
        <w:rPr>
          <w:color w:val="000000" w:themeColor="text1"/>
          <w:sz w:val="28"/>
          <w:szCs w:val="28"/>
        </w:rPr>
        <w:t xml:space="preserve"> </w:t>
      </w:r>
      <w:r w:rsidRPr="00FE7B74">
        <w:rPr>
          <w:color w:val="000000" w:themeColor="text1"/>
          <w:sz w:val="28"/>
          <w:szCs w:val="28"/>
        </w:rPr>
        <w:t xml:space="preserve">Порядок розгляду спорів у зовнішньоекономічній діяльності </w:t>
      </w:r>
    </w:p>
    <w:p w:rsidR="00BA02C2" w:rsidRPr="00FE7B74" w:rsidRDefault="00BA02C2" w:rsidP="00BA02C2">
      <w:pPr>
        <w:pStyle w:val="a6"/>
        <w:jc w:val="both"/>
        <w:rPr>
          <w:color w:val="000000" w:themeColor="text1"/>
          <w:sz w:val="28"/>
          <w:szCs w:val="28"/>
        </w:rPr>
      </w:pPr>
      <w:r w:rsidRPr="00FE7B74">
        <w:rPr>
          <w:color w:val="000000" w:themeColor="text1"/>
          <w:sz w:val="28"/>
          <w:szCs w:val="28"/>
        </w:rPr>
        <w:tab/>
        <w:t xml:space="preserve">19. </w:t>
      </w:r>
      <w:hyperlink r:id="rId6" w:anchor="n340" w:tooltip="Стаття 16." w:history="1">
        <w:r w:rsidRPr="00FE7B74">
          <w:rPr>
            <w:color w:val="000000" w:themeColor="text1"/>
            <w:sz w:val="28"/>
            <w:szCs w:val="28"/>
          </w:rPr>
          <w:t>Ліцензування зовнішньоекономічних операцій</w:t>
        </w:r>
      </w:hyperlink>
    </w:p>
    <w:p w:rsidR="00BA02C2" w:rsidRPr="00FE7B74" w:rsidRDefault="00BA02C2" w:rsidP="00BA02C2">
      <w:pPr>
        <w:pStyle w:val="a6"/>
        <w:jc w:val="both"/>
        <w:rPr>
          <w:color w:val="000000"/>
          <w:sz w:val="28"/>
          <w:szCs w:val="28"/>
          <w:shd w:val="clear" w:color="auto" w:fill="FFFFFF"/>
        </w:rPr>
      </w:pPr>
      <w:r w:rsidRPr="00FE7B74">
        <w:rPr>
          <w:color w:val="000000" w:themeColor="text1"/>
          <w:sz w:val="28"/>
          <w:szCs w:val="28"/>
        </w:rPr>
        <w:tab/>
        <w:t>20.</w:t>
      </w:r>
      <w:r>
        <w:rPr>
          <w:color w:val="000000"/>
          <w:sz w:val="28"/>
          <w:szCs w:val="28"/>
          <w:shd w:val="clear" w:color="auto" w:fill="FFFFFF"/>
        </w:rPr>
        <w:t xml:space="preserve"> </w:t>
      </w:r>
      <w:r w:rsidRPr="00FE7B74">
        <w:rPr>
          <w:color w:val="000000"/>
          <w:sz w:val="28"/>
          <w:szCs w:val="28"/>
          <w:shd w:val="clear" w:color="auto" w:fill="FFFFFF"/>
        </w:rPr>
        <w:t xml:space="preserve">Державний контроль за дотриманням </w:t>
      </w:r>
      <w:proofErr w:type="spellStart"/>
      <w:r w:rsidRPr="00FE7B74">
        <w:rPr>
          <w:color w:val="000000"/>
          <w:sz w:val="28"/>
          <w:szCs w:val="28"/>
          <w:shd w:val="clear" w:color="auto" w:fill="FFFFFF"/>
        </w:rPr>
        <w:t>антимонопольно</w:t>
      </w:r>
      <w:proofErr w:type="spellEnd"/>
      <w:r w:rsidRPr="00FE7B74">
        <w:rPr>
          <w:color w:val="000000"/>
          <w:sz w:val="28"/>
          <w:szCs w:val="28"/>
          <w:shd w:val="clear" w:color="auto" w:fill="FFFFFF"/>
        </w:rPr>
        <w:t>-конкурентного законодавства</w:t>
      </w:r>
    </w:p>
    <w:p w:rsidR="00BA02C2" w:rsidRPr="00FE7B74" w:rsidRDefault="00BA02C2" w:rsidP="00BA02C2">
      <w:pPr>
        <w:pStyle w:val="a6"/>
        <w:jc w:val="both"/>
        <w:rPr>
          <w:color w:val="000000"/>
          <w:sz w:val="28"/>
          <w:szCs w:val="28"/>
          <w:shd w:val="clear" w:color="auto" w:fill="FFFFFF"/>
        </w:rPr>
      </w:pPr>
      <w:r w:rsidRPr="00FE7B74">
        <w:rPr>
          <w:color w:val="000000"/>
          <w:sz w:val="28"/>
          <w:szCs w:val="28"/>
          <w:shd w:val="clear" w:color="auto" w:fill="FFFFFF"/>
        </w:rPr>
        <w:tab/>
        <w:t>21. Участь держави, органів державної влади, органів місцевого самоврядування в господарській діяльності</w:t>
      </w:r>
    </w:p>
    <w:p w:rsidR="00BA02C2" w:rsidRPr="00E32391" w:rsidRDefault="00BA02C2" w:rsidP="00BA02C2">
      <w:pPr>
        <w:pStyle w:val="a6"/>
        <w:jc w:val="both"/>
        <w:rPr>
          <w:color w:val="000000" w:themeColor="text1"/>
          <w:sz w:val="28"/>
          <w:szCs w:val="28"/>
        </w:rPr>
      </w:pPr>
      <w:r w:rsidRPr="00FE7B74">
        <w:rPr>
          <w:color w:val="000000"/>
          <w:sz w:val="28"/>
          <w:szCs w:val="28"/>
          <w:shd w:val="clear" w:color="auto" w:fill="FFFFFF"/>
        </w:rPr>
        <w:tab/>
      </w:r>
      <w:bookmarkStart w:id="0" w:name="_GoBack"/>
      <w:r w:rsidRPr="00E32391">
        <w:rPr>
          <w:color w:val="000000"/>
          <w:sz w:val="28"/>
          <w:szCs w:val="28"/>
          <w:shd w:val="clear" w:color="auto" w:fill="FFFFFF"/>
        </w:rPr>
        <w:t>22. Правила професійної етики у конкуренції</w:t>
      </w:r>
    </w:p>
    <w:p w:rsidR="00BA02C2" w:rsidRPr="00E32391" w:rsidRDefault="00BA02C2" w:rsidP="00BA02C2">
      <w:pPr>
        <w:pStyle w:val="a6"/>
        <w:ind w:firstLine="708"/>
        <w:jc w:val="both"/>
        <w:rPr>
          <w:color w:val="000000" w:themeColor="text1"/>
          <w:sz w:val="28"/>
          <w:szCs w:val="28"/>
        </w:rPr>
      </w:pPr>
      <w:r w:rsidRPr="00E32391">
        <w:rPr>
          <w:color w:val="000000" w:themeColor="text1"/>
          <w:sz w:val="28"/>
          <w:szCs w:val="28"/>
        </w:rPr>
        <w:t>23.</w:t>
      </w:r>
      <w:hyperlink r:id="rId7" w:anchor="n1656" w:tooltip="Стаття 245." w:history="1">
        <w:r w:rsidRPr="00E32391">
          <w:rPr>
            <w:rStyle w:val="a3"/>
            <w:color w:val="000000" w:themeColor="text1"/>
            <w:sz w:val="28"/>
            <w:szCs w:val="28"/>
            <w:u w:val="none"/>
          </w:rPr>
          <w:t>Припинення експортно-імпортних операцій. Застосування індивідуального режиму ліцензування</w:t>
        </w:r>
      </w:hyperlink>
    </w:p>
    <w:p w:rsidR="00BA02C2" w:rsidRPr="00E32391" w:rsidRDefault="00BA02C2" w:rsidP="00BA02C2">
      <w:pPr>
        <w:pStyle w:val="a6"/>
        <w:ind w:firstLine="708"/>
        <w:jc w:val="both"/>
        <w:rPr>
          <w:color w:val="000000" w:themeColor="text1"/>
          <w:sz w:val="28"/>
          <w:szCs w:val="28"/>
        </w:rPr>
      </w:pPr>
      <w:r w:rsidRPr="00E32391">
        <w:rPr>
          <w:color w:val="000000" w:themeColor="text1"/>
          <w:sz w:val="28"/>
          <w:szCs w:val="28"/>
        </w:rPr>
        <w:t> </w:t>
      </w:r>
      <w:bookmarkStart w:id="1" w:name="n1659"/>
      <w:bookmarkEnd w:id="1"/>
      <w:r w:rsidRPr="00E32391">
        <w:rPr>
          <w:color w:val="000000" w:themeColor="text1"/>
          <w:sz w:val="28"/>
          <w:szCs w:val="28"/>
        </w:rPr>
        <w:fldChar w:fldCharType="begin"/>
      </w:r>
      <w:r w:rsidRPr="00E32391">
        <w:rPr>
          <w:color w:val="000000" w:themeColor="text1"/>
          <w:sz w:val="28"/>
          <w:szCs w:val="28"/>
        </w:rPr>
        <w:instrText xml:space="preserve"> HYPERLINK "https://zakon.rada.gov.ua/laws/show/436-15" \l "n1659" \o "Стаття 246." </w:instrText>
      </w:r>
      <w:r w:rsidRPr="00E32391">
        <w:rPr>
          <w:color w:val="000000" w:themeColor="text1"/>
          <w:sz w:val="28"/>
          <w:szCs w:val="28"/>
        </w:rPr>
        <w:fldChar w:fldCharType="separate"/>
      </w:r>
      <w:r w:rsidRPr="00E32391">
        <w:rPr>
          <w:rStyle w:val="a3"/>
          <w:color w:val="000000" w:themeColor="text1"/>
          <w:sz w:val="28"/>
          <w:szCs w:val="28"/>
          <w:u w:val="none"/>
        </w:rPr>
        <w:t>24. Обмеження та зупинення діяльності суб'єкта господарювання</w:t>
      </w:r>
      <w:r w:rsidRPr="00E32391">
        <w:rPr>
          <w:color w:val="000000" w:themeColor="text1"/>
          <w:sz w:val="28"/>
          <w:szCs w:val="28"/>
        </w:rPr>
        <w:fldChar w:fldCharType="end"/>
      </w:r>
    </w:p>
    <w:p w:rsidR="00BA02C2" w:rsidRDefault="00E32391" w:rsidP="00BA02C2">
      <w:pPr>
        <w:pStyle w:val="a6"/>
        <w:jc w:val="both"/>
        <w:rPr>
          <w:color w:val="000000" w:themeColor="text1"/>
          <w:sz w:val="28"/>
          <w:szCs w:val="28"/>
        </w:rPr>
      </w:pPr>
      <w:hyperlink r:id="rId8" w:anchor="n171" w:tooltip="Стаття 6." w:history="1">
        <w:r w:rsidR="00BA02C2" w:rsidRPr="00E32391">
          <w:rPr>
            <w:b/>
            <w:bCs/>
            <w:color w:val="000000" w:themeColor="text1"/>
            <w:sz w:val="28"/>
            <w:szCs w:val="28"/>
          </w:rPr>
          <w:t xml:space="preserve">           </w:t>
        </w:r>
        <w:r w:rsidR="00BA02C2" w:rsidRPr="00E32391">
          <w:rPr>
            <w:bCs/>
            <w:color w:val="000000" w:themeColor="text1"/>
            <w:sz w:val="28"/>
            <w:szCs w:val="28"/>
          </w:rPr>
          <w:t xml:space="preserve">25. </w:t>
        </w:r>
        <w:r w:rsidR="00BA02C2" w:rsidRPr="00E32391">
          <w:rPr>
            <w:color w:val="000000" w:themeColor="text1"/>
            <w:sz w:val="28"/>
            <w:szCs w:val="28"/>
          </w:rPr>
          <w:t>Договори (контракти) суб'єктів зовнішньоекономічної діяльності та право, що застосовується до них</w:t>
        </w:r>
      </w:hyperlink>
      <w:bookmarkEnd w:id="0"/>
    </w:p>
    <w:p w:rsidR="00E32391" w:rsidRDefault="00E32391" w:rsidP="00BA02C2">
      <w:pPr>
        <w:pStyle w:val="a6"/>
        <w:jc w:val="both"/>
        <w:rPr>
          <w:color w:val="000000" w:themeColor="text1"/>
          <w:sz w:val="28"/>
          <w:szCs w:val="28"/>
        </w:rPr>
      </w:pPr>
    </w:p>
    <w:p w:rsidR="00E32391" w:rsidRDefault="00E32391" w:rsidP="00BA02C2">
      <w:pPr>
        <w:pStyle w:val="a6"/>
        <w:jc w:val="both"/>
        <w:rPr>
          <w:color w:val="000000" w:themeColor="text1"/>
          <w:sz w:val="28"/>
          <w:szCs w:val="28"/>
        </w:rPr>
      </w:pPr>
    </w:p>
    <w:p w:rsidR="00E32391" w:rsidRPr="00403AEE" w:rsidRDefault="00E32391" w:rsidP="00E32391">
      <w:pPr>
        <w:pStyle w:val="a6"/>
        <w:ind w:firstLine="708"/>
        <w:jc w:val="both"/>
        <w:rPr>
          <w:snapToGrid w:val="0"/>
        </w:rPr>
      </w:pPr>
      <w:r w:rsidRPr="00403AEE">
        <w:rPr>
          <w:snapToGrid w:val="0"/>
          <w:color w:val="000000"/>
        </w:rPr>
        <w:t>Реферат повинен бути належним чином оформлений. На титульному аркуші студент повинен зазначити назву вузу, кафедри, повну назву теми реферату, своє прізвище та ініціали, також вчену ступінь, звання, прізвище та ініціали наукового керівника, місце та рік написання реферату.</w:t>
      </w:r>
    </w:p>
    <w:p w:rsidR="00E32391" w:rsidRPr="00403AEE" w:rsidRDefault="00E32391" w:rsidP="00E32391">
      <w:pPr>
        <w:pStyle w:val="a6"/>
        <w:ind w:firstLine="708"/>
        <w:jc w:val="both"/>
        <w:rPr>
          <w:snapToGrid w:val="0"/>
        </w:rPr>
      </w:pPr>
      <w:r w:rsidRPr="00403AEE">
        <w:rPr>
          <w:snapToGrid w:val="0"/>
          <w:color w:val="000000"/>
        </w:rPr>
        <w:t>Для написання реферату студент повинен скласти план, який розкриває зміст обраної теми. План реферату, як правило, включає вступ, в якому коротко обґрунтовується актуальність обраної теми, основні питання, що розкривають зміст теми реферату і закінчення, де формуються висновки, оцінки, пропозиції.</w:t>
      </w:r>
    </w:p>
    <w:p w:rsidR="00E32391" w:rsidRPr="00403AEE" w:rsidRDefault="00E32391" w:rsidP="00E32391">
      <w:pPr>
        <w:pStyle w:val="a6"/>
        <w:ind w:firstLine="708"/>
        <w:jc w:val="both"/>
        <w:rPr>
          <w:snapToGrid w:val="0"/>
        </w:rPr>
      </w:pPr>
      <w:r w:rsidRPr="00403AEE">
        <w:rPr>
          <w:snapToGrid w:val="0"/>
          <w:color w:val="000000"/>
        </w:rPr>
        <w:t xml:space="preserve">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w:t>
      </w:r>
      <w:r w:rsidRPr="00403AEE">
        <w:rPr>
          <w:snapToGrid w:val="0"/>
          <w:color w:val="000000"/>
        </w:rPr>
        <w:lastRenderedPageBreak/>
        <w:t>оцінюються на задовільно і повертаються студентові для повторного виконання. В кінці реферату обов'язково наводиться список використаних джерел.</w:t>
      </w:r>
    </w:p>
    <w:p w:rsidR="00E32391" w:rsidRDefault="00E32391" w:rsidP="00E32391">
      <w:pPr>
        <w:pStyle w:val="a6"/>
        <w:ind w:firstLine="708"/>
        <w:jc w:val="both"/>
        <w:rPr>
          <w:snapToGrid w:val="0"/>
          <w:color w:val="000000"/>
        </w:rPr>
      </w:pPr>
      <w:r w:rsidRPr="00403AEE">
        <w:rPr>
          <w:snapToGrid w:val="0"/>
          <w:color w:val="000000"/>
        </w:rPr>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rsidR="00E32391" w:rsidRPr="00403AEE" w:rsidRDefault="00E32391" w:rsidP="00E32391">
      <w:pPr>
        <w:pStyle w:val="a6"/>
        <w:ind w:firstLine="708"/>
        <w:jc w:val="both"/>
        <w:rPr>
          <w:snapToGrid w:val="0"/>
          <w:color w:val="000000"/>
        </w:rPr>
      </w:pPr>
      <w:r w:rsidRPr="00403AEE">
        <w:rPr>
          <w:rFonts w:eastAsia="Calibri"/>
          <w:color w:val="000000"/>
          <w:lang w:eastAsia="uk-UA"/>
        </w:rPr>
        <w:t xml:space="preserve">Реферат повинен включати: </w:t>
      </w:r>
    </w:p>
    <w:p w:rsidR="00E32391" w:rsidRPr="00403AEE" w:rsidRDefault="00E32391" w:rsidP="00E32391">
      <w:pPr>
        <w:autoSpaceDE w:val="0"/>
        <w:autoSpaceDN w:val="0"/>
        <w:adjustRightInd w:val="0"/>
        <w:ind w:left="284" w:hanging="284"/>
        <w:jc w:val="both"/>
        <w:rPr>
          <w:rFonts w:eastAsia="Calibri"/>
          <w:color w:val="000000"/>
          <w:lang w:eastAsia="uk-UA"/>
        </w:rPr>
      </w:pPr>
      <w:r w:rsidRPr="00403AEE">
        <w:rPr>
          <w:rFonts w:eastAsia="Calibri"/>
          <w:color w:val="000000"/>
          <w:lang w:eastAsia="uk-UA"/>
        </w:rPr>
        <w:t xml:space="preserve">– назву та зміст роботи; </w:t>
      </w:r>
    </w:p>
    <w:p w:rsidR="00E32391" w:rsidRPr="00403AEE" w:rsidRDefault="00E32391" w:rsidP="00E32391">
      <w:pPr>
        <w:autoSpaceDE w:val="0"/>
        <w:autoSpaceDN w:val="0"/>
        <w:adjustRightInd w:val="0"/>
        <w:ind w:left="284" w:hanging="284"/>
        <w:jc w:val="both"/>
        <w:rPr>
          <w:rFonts w:eastAsia="Calibri"/>
          <w:color w:val="000000"/>
          <w:lang w:eastAsia="uk-UA"/>
        </w:rPr>
      </w:pPr>
      <w:r w:rsidRPr="00403AEE">
        <w:rPr>
          <w:rFonts w:eastAsia="Calibri"/>
          <w:color w:val="000000"/>
          <w:lang w:eastAsia="uk-UA"/>
        </w:rPr>
        <w:t xml:space="preserve">– вступ, в якому визначається актуальність проблеми, мета та завдання дослідження; </w:t>
      </w:r>
    </w:p>
    <w:p w:rsidR="00E32391" w:rsidRPr="00403AEE" w:rsidRDefault="00E32391" w:rsidP="00E32391">
      <w:pPr>
        <w:autoSpaceDE w:val="0"/>
        <w:autoSpaceDN w:val="0"/>
        <w:adjustRightInd w:val="0"/>
        <w:ind w:left="284" w:hanging="284"/>
        <w:jc w:val="both"/>
        <w:rPr>
          <w:rFonts w:eastAsia="Calibri"/>
          <w:color w:val="000000"/>
          <w:lang w:eastAsia="uk-UA"/>
        </w:rPr>
      </w:pPr>
      <w:r w:rsidRPr="00403AEE">
        <w:rPr>
          <w:rFonts w:eastAsia="Calibri"/>
          <w:color w:val="000000"/>
          <w:lang w:eastAsia="uk-UA"/>
        </w:rPr>
        <w:t xml:space="preserve">– основну частину, в якій висвітлюються основні проблеми та ступінь їхнього дослідження, аналіз судової практики; </w:t>
      </w:r>
    </w:p>
    <w:p w:rsidR="00E32391" w:rsidRPr="00403AEE" w:rsidRDefault="00E32391" w:rsidP="00E32391">
      <w:pPr>
        <w:autoSpaceDE w:val="0"/>
        <w:autoSpaceDN w:val="0"/>
        <w:adjustRightInd w:val="0"/>
        <w:ind w:left="284" w:hanging="284"/>
        <w:jc w:val="both"/>
        <w:rPr>
          <w:rFonts w:eastAsia="Calibri"/>
          <w:color w:val="000000"/>
          <w:lang w:eastAsia="uk-UA"/>
        </w:rPr>
      </w:pPr>
      <w:r w:rsidRPr="00403AEE">
        <w:rPr>
          <w:rFonts w:eastAsia="Calibri"/>
          <w:color w:val="000000"/>
          <w:lang w:eastAsia="uk-UA"/>
        </w:rPr>
        <w:t xml:space="preserve">– висновки, в яких визначаються основні підсумки дослідження; </w:t>
      </w:r>
    </w:p>
    <w:p w:rsidR="00E32391" w:rsidRPr="00403AEE" w:rsidRDefault="00E32391" w:rsidP="00E32391">
      <w:pPr>
        <w:autoSpaceDE w:val="0"/>
        <w:autoSpaceDN w:val="0"/>
        <w:adjustRightInd w:val="0"/>
        <w:ind w:left="284" w:hanging="284"/>
        <w:jc w:val="both"/>
        <w:rPr>
          <w:rFonts w:eastAsia="Calibri"/>
          <w:color w:val="000000"/>
          <w:lang w:eastAsia="uk-UA"/>
        </w:rPr>
      </w:pPr>
      <w:r w:rsidRPr="00403AEE">
        <w:rPr>
          <w:rFonts w:eastAsia="Calibri"/>
          <w:color w:val="000000"/>
          <w:lang w:eastAsia="uk-UA"/>
        </w:rPr>
        <w:t xml:space="preserve">– список використаних джерел. </w:t>
      </w:r>
    </w:p>
    <w:p w:rsidR="00E32391" w:rsidRDefault="00E32391" w:rsidP="00E32391">
      <w:pPr>
        <w:shd w:val="clear" w:color="auto" w:fill="FFFFFF"/>
        <w:ind w:left="284" w:hanging="284"/>
        <w:jc w:val="both"/>
        <w:rPr>
          <w:snapToGrid w:val="0"/>
          <w:color w:val="000000"/>
        </w:rPr>
      </w:pPr>
      <w:r w:rsidRPr="00403AEE">
        <w:rPr>
          <w:snapToGrid w:val="0"/>
          <w:color w:val="000000"/>
        </w:rPr>
        <w:t>Обсяг реферату складає 15-20 сторінок рукописного тексту або 12-18 сторінок комп'ютерного виконання на папері формату А-4.</w:t>
      </w:r>
    </w:p>
    <w:p w:rsidR="00E32391" w:rsidRDefault="00E32391" w:rsidP="00E32391">
      <w:pPr>
        <w:shd w:val="clear" w:color="auto" w:fill="FFFFFF"/>
        <w:ind w:left="284" w:hanging="284"/>
        <w:jc w:val="both"/>
        <w:rPr>
          <w:snapToGrid w:val="0"/>
          <w:color w:val="000000"/>
        </w:rPr>
      </w:pPr>
    </w:p>
    <w:p w:rsidR="00E32391" w:rsidRDefault="00E32391" w:rsidP="00BA02C2">
      <w:pPr>
        <w:pStyle w:val="a6"/>
        <w:jc w:val="both"/>
        <w:rPr>
          <w:color w:val="000000" w:themeColor="text1"/>
          <w:sz w:val="28"/>
          <w:szCs w:val="28"/>
        </w:rPr>
      </w:pPr>
    </w:p>
    <w:p w:rsidR="00BE3B20" w:rsidRDefault="00BE3B20"/>
    <w:sectPr w:rsidR="00BE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C2"/>
    <w:rsid w:val="00BA02C2"/>
    <w:rsid w:val="00BE3B20"/>
    <w:rsid w:val="00E3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3AD0"/>
  <w15:chartTrackingRefBased/>
  <w15:docId w15:val="{C076C124-E83F-4A97-A9E7-7A3C8918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2C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2C2"/>
    <w:rPr>
      <w:color w:val="0563C1"/>
      <w:u w:val="single"/>
    </w:rPr>
  </w:style>
  <w:style w:type="paragraph" w:styleId="a4">
    <w:name w:val="Body Text"/>
    <w:basedOn w:val="a"/>
    <w:link w:val="a5"/>
    <w:uiPriority w:val="99"/>
    <w:unhideWhenUsed/>
    <w:rsid w:val="00BA02C2"/>
    <w:pPr>
      <w:spacing w:after="120"/>
    </w:pPr>
  </w:style>
  <w:style w:type="character" w:customStyle="1" w:styleId="a5">
    <w:name w:val="Основной текст Знак"/>
    <w:basedOn w:val="a0"/>
    <w:link w:val="a4"/>
    <w:uiPriority w:val="99"/>
    <w:rsid w:val="00BA02C2"/>
    <w:rPr>
      <w:rFonts w:ascii="Times New Roman" w:eastAsia="Times New Roman" w:hAnsi="Times New Roman" w:cs="Times New Roman"/>
      <w:sz w:val="24"/>
      <w:szCs w:val="24"/>
      <w:lang w:val="uk-UA" w:eastAsia="ru-RU"/>
    </w:rPr>
  </w:style>
  <w:style w:type="paragraph" w:styleId="a6">
    <w:name w:val="No Spacing"/>
    <w:uiPriority w:val="1"/>
    <w:qFormat/>
    <w:rsid w:val="00BA02C2"/>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59-12" TargetMode="External"/><Relationship Id="rId3" Type="http://schemas.openxmlformats.org/officeDocument/2006/relationships/webSettings" Target="webSettings.xml"/><Relationship Id="rId7" Type="http://schemas.openxmlformats.org/officeDocument/2006/relationships/hyperlink" Target="https://zakon.rada.gov.ua/laws/show/436-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59-12" TargetMode="External"/><Relationship Id="rId5" Type="http://schemas.openxmlformats.org/officeDocument/2006/relationships/hyperlink" Target="https://zakon.rada.gov.ua/laws/show/959-12" TargetMode="External"/><Relationship Id="rId10" Type="http://schemas.openxmlformats.org/officeDocument/2006/relationships/theme" Target="theme/theme1.xml"/><Relationship Id="rId4" Type="http://schemas.openxmlformats.org/officeDocument/2006/relationships/hyperlink" Target="https://zakon.rada.gov.ua/laws/show/959-1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2022-08-16T13:36:00Z</dcterms:created>
  <dcterms:modified xsi:type="dcterms:W3CDTF">2022-08-16T13:36:00Z</dcterms:modified>
</cp:coreProperties>
</file>