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E6" w:rsidRPr="00190EE6" w:rsidRDefault="00190EE6" w:rsidP="00190EE6">
      <w:pPr>
        <w:pStyle w:val="Default"/>
        <w:jc w:val="both"/>
        <w:rPr>
          <w:sz w:val="28"/>
          <w:szCs w:val="28"/>
          <w:lang w:val="uk-UA"/>
        </w:rPr>
      </w:pPr>
    </w:p>
    <w:p w:rsidR="00190EE6" w:rsidRPr="00190EE6" w:rsidRDefault="00190EE6" w:rsidP="00190EE6">
      <w:pPr>
        <w:pStyle w:val="Default"/>
        <w:contextualSpacing/>
        <w:jc w:val="center"/>
        <w:rPr>
          <w:sz w:val="28"/>
          <w:szCs w:val="28"/>
          <w:lang w:val="uk-UA"/>
        </w:rPr>
      </w:pPr>
      <w:r w:rsidRPr="00190EE6">
        <w:rPr>
          <w:b/>
          <w:bCs/>
          <w:sz w:val="28"/>
          <w:szCs w:val="28"/>
          <w:lang w:val="uk-UA"/>
        </w:rPr>
        <w:t>ПЕРЕЛІК</w:t>
      </w:r>
    </w:p>
    <w:p w:rsidR="00190EE6" w:rsidRPr="00190EE6" w:rsidRDefault="00190EE6" w:rsidP="00190EE6">
      <w:pPr>
        <w:spacing w:after="0" w:line="240" w:lineRule="auto"/>
        <w:ind w:firstLine="0"/>
        <w:contextualSpacing/>
        <w:rPr>
          <w:rFonts w:cs="Times New Roman"/>
          <w:b/>
          <w:bCs/>
          <w:szCs w:val="28"/>
          <w:lang w:val="uk-UA"/>
        </w:rPr>
      </w:pPr>
      <w:r w:rsidRPr="00190EE6">
        <w:rPr>
          <w:rFonts w:cs="Times New Roman"/>
          <w:b/>
          <w:bCs/>
          <w:szCs w:val="28"/>
          <w:lang w:val="uk-UA"/>
        </w:rPr>
        <w:t xml:space="preserve">питань для складання державних екзаменів з дисципліни «Кримінальне право», студентами випускних курсів за напрямом підготовки «Правознавство» факультету </w:t>
      </w:r>
      <w:r w:rsidR="00DE4615">
        <w:rPr>
          <w:rFonts w:cs="Times New Roman"/>
          <w:b/>
          <w:bCs/>
          <w:szCs w:val="28"/>
          <w:lang w:val="uk-UA"/>
        </w:rPr>
        <w:t>б</w:t>
      </w:r>
      <w:r w:rsidRPr="00190EE6">
        <w:rPr>
          <w:rFonts w:cs="Times New Roman"/>
          <w:b/>
          <w:bCs/>
          <w:szCs w:val="28"/>
          <w:lang w:val="uk-UA"/>
        </w:rPr>
        <w:t>знесу та права Вінницького соціально-економічного інституту вищого навчального закладу «Відкритий міжнародний університет розвитку людини «Україна».</w:t>
      </w:r>
    </w:p>
    <w:p w:rsidR="00190EE6" w:rsidRDefault="00190EE6" w:rsidP="00190EE6">
      <w:pPr>
        <w:pStyle w:val="Default"/>
        <w:jc w:val="both"/>
        <w:rPr>
          <w:b/>
          <w:bCs/>
          <w:sz w:val="28"/>
          <w:szCs w:val="28"/>
          <w:lang w:val="uk-UA"/>
        </w:rPr>
      </w:pPr>
    </w:p>
    <w:p w:rsidR="00190EE6" w:rsidRPr="00190EE6" w:rsidRDefault="00190EE6" w:rsidP="00190EE6">
      <w:pPr>
        <w:pStyle w:val="Default"/>
        <w:jc w:val="both"/>
        <w:rPr>
          <w:b/>
          <w:bCs/>
          <w:sz w:val="28"/>
          <w:szCs w:val="28"/>
          <w:lang w:val="uk-UA"/>
        </w:rPr>
      </w:pPr>
      <w:bookmarkStart w:id="0" w:name="_GoBack"/>
      <w:bookmarkEnd w:id="0"/>
    </w:p>
    <w:p w:rsidR="00190EE6" w:rsidRDefault="00190EE6" w:rsidP="00190EE6">
      <w:pPr>
        <w:pStyle w:val="Default"/>
        <w:jc w:val="center"/>
        <w:rPr>
          <w:b/>
          <w:iCs/>
          <w:sz w:val="28"/>
          <w:szCs w:val="28"/>
          <w:u w:val="single"/>
          <w:lang w:val="uk-UA"/>
        </w:rPr>
      </w:pPr>
      <w:r w:rsidRPr="00190EE6">
        <w:rPr>
          <w:b/>
          <w:iCs/>
          <w:sz w:val="28"/>
          <w:szCs w:val="28"/>
          <w:u w:val="single"/>
          <w:lang w:val="uk-UA"/>
        </w:rPr>
        <w:t>Загальна частина</w:t>
      </w:r>
    </w:p>
    <w:p w:rsidR="00C51C71" w:rsidRPr="00190EE6" w:rsidRDefault="00C51C71" w:rsidP="00190EE6">
      <w:pPr>
        <w:pStyle w:val="Default"/>
        <w:jc w:val="center"/>
        <w:rPr>
          <w:b/>
          <w:sz w:val="28"/>
          <w:szCs w:val="28"/>
          <w:u w:val="single"/>
          <w:lang w:val="uk-UA"/>
        </w:rPr>
      </w:pPr>
    </w:p>
    <w:p w:rsidR="00190EE6" w:rsidRPr="00190EE6" w:rsidRDefault="00190EE6" w:rsidP="00190EE6">
      <w:pPr>
        <w:pStyle w:val="Default"/>
        <w:spacing w:after="25"/>
        <w:jc w:val="both"/>
        <w:rPr>
          <w:sz w:val="28"/>
          <w:szCs w:val="28"/>
          <w:lang w:val="uk-UA"/>
        </w:rPr>
      </w:pPr>
      <w:r w:rsidRPr="00190EE6">
        <w:rPr>
          <w:sz w:val="28"/>
          <w:szCs w:val="28"/>
          <w:lang w:val="uk-UA"/>
        </w:rPr>
        <w:t xml:space="preserve">1. Поняття, предмет, метод кримінального права України. Конституція України як концептуальне джерело кримінального права.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 Конституційні положення щодо помилування. Положення про порядок здійснення помилування (затверджене Указом Президента України № 902/2010 від 16 вересня 2010 р.).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3. Конституційні положення щодо амністії. Закон України “Про застосування амністії в Україні” від 1 жовтня 1996 року.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4. Функції кримінального права.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5. Принципи кримінального права.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6. Тлумачення закону про кримінальну відповідальність: поняття та види.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7. Чинність закону про кримінальну відповідальність у часі. Указ Президента України № 503/97 від 10 червня 1997 року “Про порядок офіційного оприлюднення нормативно-правових актів та набрання ними чинності”.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8. Чинність закону про кримінальну відповідальність у просторі. Указ Президента України № 503/97 від 10 червня 1997 року “Про порядок офіційного оприлюднення нормативно-правових актів та набрання ними чинності”.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9. Злочин: поняття, ознаки та їх зміст.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10. Малозначність в кримінальному праві.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11. Класифікація злочинів та її практичне значення.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12. Кримінальна відповідальність: поняття та види. Співвідношення понять “кримінальна відповідальність” та “покарання”.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13. Підстави кримінальної відповідальності.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14. Склад злочину: поняття, елементи та ознаки. Співвідношення понять “злочин” та “склад злочину”.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15. Види складів злочинів.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16. Функції складу злочину.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17. Кваліфікація злочину. Її види. Формула кваліфікації.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18. Об’єкт злочину: поняття, ознаки. Класифікація об’єктів злочину.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19. Суспільно небезпечне діяння як ознака об’єктивної сторони.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20. Суспільно небезпечні наслідки як ознака об’єктивної сторони.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21. Причинний зв’язок як ознака об’єктивної сторони. </w:t>
      </w:r>
    </w:p>
    <w:p w:rsidR="00190EE6" w:rsidRPr="00190EE6" w:rsidRDefault="00190EE6" w:rsidP="00190EE6">
      <w:pPr>
        <w:pStyle w:val="Default"/>
        <w:spacing w:after="25"/>
        <w:jc w:val="both"/>
        <w:rPr>
          <w:sz w:val="28"/>
          <w:szCs w:val="28"/>
          <w:lang w:val="uk-UA"/>
        </w:rPr>
      </w:pPr>
      <w:r w:rsidRPr="00190EE6">
        <w:rPr>
          <w:sz w:val="28"/>
          <w:szCs w:val="28"/>
          <w:lang w:val="uk-UA"/>
        </w:rPr>
        <w:lastRenderedPageBreak/>
        <w:t xml:space="preserve">22. Множинність злочинів: поняття та види. Відмінність множинності злочинів від одиничних злочинів. Постанова Пленуму Верховного Суду України від 4 червня 2010 р. № 7 “Про практику застосування судами кримінального законодавства про повторність, сукупність і рецидив злочинів та їх правові наслідки”.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23. Прості та складні одиничні злочини та їх зміст.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24. Поняття, ознаки та значення об’єктивної сторони складу злочину.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25. Осудність як ознака суб’єкта злочину.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26. Спеціальний суб’єкт злочину та його види. Кваліфікація злочину із загальним та спеціальним суб’єктами.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27. Поняття, ознаки та значення суб’єктивної сторони складу злочину.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28. Поняття та види умислу. Різновиди умислу, які вироблені кримінально-правовою теорією та судовою практикою. </w:t>
      </w:r>
    </w:p>
    <w:p w:rsidR="00190EE6" w:rsidRPr="00190EE6" w:rsidRDefault="00190EE6" w:rsidP="00190EE6">
      <w:pPr>
        <w:pStyle w:val="Default"/>
        <w:jc w:val="both"/>
        <w:rPr>
          <w:sz w:val="28"/>
          <w:szCs w:val="28"/>
          <w:lang w:val="uk-UA"/>
        </w:rPr>
      </w:pPr>
      <w:r w:rsidRPr="00190EE6">
        <w:rPr>
          <w:sz w:val="28"/>
          <w:szCs w:val="28"/>
          <w:lang w:val="uk-UA"/>
        </w:rPr>
        <w:t xml:space="preserve">29. Поняття та види помилок у кримінальному праві.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30. Попередня злочинна діяльність: поняття та види.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31. Добровільна відмова при незакінченому злочині.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32. Поняття співучасті та її ознаки.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33. Види співучасників. Кваліфікація злочину, вчиненого при розподілі ролей.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34. Форми співучасті. Вчинення злочину групою осіб, групою осіб за попередньою змовою, організованою групою, злочинною організацією.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35. Специфічні прояви співучасті.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36. Поняття та види причетності до злочину. Відмінність причетності до злочину від співучасті в злочині.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37. Сукупність злочинів. Правові наслідки сукупності злочинів. Постанова Пленуму Верховного Суду України від 4 червня 2010 р. № 7 “Про практику застосування судами кримінального законодавства про повторність, сукупність і рецидив злочинів та їх правові наслідки”.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38. Повторність злочинів. Відмінність повторності від рецидиву злочинів. Постанова Пленуму Верховного Суду України від 4 червня 2010 р. № 7 “Про практику застосування судами кримінального законодавства про повторність, сукупність і рецидив злочинів та їх правові наслідки”.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39. Поняття, ознаки та види та рецидиву злочинів. Правові наслідки рецидиву злочинів. Постанова Пленуму Верховного Суду України від 4 червня 2010 р. № 7 “Про практику застосування судами кримінального законодавства про повторність, сукупність і рецидив злочинів та їх правові наслідки”.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40. Умови правомірності необхідної оборони. Постанова Пленуму Верховного Суду України від 26 квітня 2002 р. № 1 “Про судову практику в справах про необхідну оборону”.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41. Умови правомірності затримання особи, що вчинила злочин.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42. Умови правомірності крайньої необхідності. Відмінність крайньої необхідності від необхідної оборони. </w:t>
      </w:r>
    </w:p>
    <w:p w:rsidR="00190EE6" w:rsidRPr="00190EE6" w:rsidRDefault="00190EE6" w:rsidP="00190EE6">
      <w:pPr>
        <w:pStyle w:val="Default"/>
        <w:spacing w:after="30"/>
        <w:jc w:val="both"/>
        <w:rPr>
          <w:sz w:val="28"/>
          <w:szCs w:val="28"/>
          <w:lang w:val="uk-UA"/>
        </w:rPr>
      </w:pPr>
      <w:r w:rsidRPr="00190EE6">
        <w:rPr>
          <w:sz w:val="28"/>
          <w:szCs w:val="28"/>
          <w:lang w:val="uk-UA"/>
        </w:rPr>
        <w:lastRenderedPageBreak/>
        <w:t xml:space="preserve">43. Фізичний або психічний примус: місце в системі обставин, що виключають злочинність діяння.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44. Звільнення від кримінальної відповідальності: поняття та види. Підстави та порядок звільнення особи від кримінальної відповідальності. Постанова Пленуму Верховного Суду України від 23 грудня 2005 р. № 12 “Про практику застосування судами України законодавства про звільнення особи від кримінальної відповідальності”.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45. Поняття та мета покарання. Система покарань та її кримінально-правове значення.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46. Принципи та загальні засади призначення покарання. Постанова Пленуму Верховного Суду України від 24 жовтня 2003 р. № 7 “Про практику призначення судами кримінального покарання”.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47. Обставини, що пом’якшують та обтяжують покарання.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48. Судимість: поняття, кримінально-правові наслідки, порядок погашення та зняття. Постанова Пленуму Верховного Суду України від 26 грудня 2003 р. № 16 “Про практику застосування судами України законодавства про погашення і зняття судимості”. </w:t>
      </w:r>
    </w:p>
    <w:p w:rsidR="00190EE6" w:rsidRPr="00190EE6" w:rsidRDefault="00190EE6" w:rsidP="00190EE6">
      <w:pPr>
        <w:pStyle w:val="Default"/>
        <w:jc w:val="both"/>
        <w:rPr>
          <w:sz w:val="28"/>
          <w:szCs w:val="28"/>
          <w:lang w:val="uk-UA"/>
        </w:rPr>
      </w:pPr>
      <w:r w:rsidRPr="00190EE6">
        <w:rPr>
          <w:sz w:val="28"/>
          <w:szCs w:val="28"/>
          <w:lang w:val="uk-UA"/>
        </w:rPr>
        <w:t xml:space="preserve">49. Примусові заходи медичного характеру та примусове лікування. Постанова Пленуму Верховного Суду України від 3 червня 2004 р. № 17 “Про практику застосування судами примусових заходів медичного характеру та примусового лікування”. </w:t>
      </w:r>
    </w:p>
    <w:p w:rsidR="00190EE6" w:rsidRPr="00190EE6" w:rsidRDefault="00190EE6" w:rsidP="00190EE6">
      <w:pPr>
        <w:pStyle w:val="Default"/>
        <w:jc w:val="both"/>
        <w:rPr>
          <w:sz w:val="28"/>
          <w:szCs w:val="28"/>
          <w:lang w:val="uk-UA"/>
        </w:rPr>
      </w:pPr>
    </w:p>
    <w:p w:rsidR="00190EE6" w:rsidRDefault="00190EE6" w:rsidP="00C51C71">
      <w:pPr>
        <w:pStyle w:val="Default"/>
        <w:jc w:val="center"/>
        <w:rPr>
          <w:b/>
          <w:iCs/>
          <w:sz w:val="28"/>
          <w:szCs w:val="28"/>
          <w:u w:val="single"/>
          <w:lang w:val="uk-UA"/>
        </w:rPr>
      </w:pPr>
      <w:r w:rsidRPr="00C51C71">
        <w:rPr>
          <w:b/>
          <w:iCs/>
          <w:sz w:val="28"/>
          <w:szCs w:val="28"/>
          <w:u w:val="single"/>
          <w:lang w:val="uk-UA"/>
        </w:rPr>
        <w:t xml:space="preserve">Особлива частина </w:t>
      </w:r>
    </w:p>
    <w:p w:rsidR="00C51C71" w:rsidRPr="00C51C71" w:rsidRDefault="00C51C71" w:rsidP="00C51C71">
      <w:pPr>
        <w:pStyle w:val="Default"/>
        <w:jc w:val="center"/>
        <w:rPr>
          <w:b/>
          <w:iCs/>
          <w:sz w:val="28"/>
          <w:szCs w:val="28"/>
          <w:u w:val="single"/>
          <w:lang w:val="uk-UA"/>
        </w:rPr>
      </w:pPr>
    </w:p>
    <w:p w:rsidR="00190EE6" w:rsidRPr="00190EE6" w:rsidRDefault="00190EE6" w:rsidP="00190EE6">
      <w:pPr>
        <w:pStyle w:val="Default"/>
        <w:spacing w:after="30"/>
        <w:jc w:val="both"/>
        <w:rPr>
          <w:sz w:val="28"/>
          <w:szCs w:val="28"/>
          <w:lang w:val="uk-UA"/>
        </w:rPr>
      </w:pPr>
      <w:r w:rsidRPr="00190EE6">
        <w:rPr>
          <w:sz w:val="28"/>
          <w:szCs w:val="28"/>
          <w:lang w:val="uk-UA"/>
        </w:rPr>
        <w:t xml:space="preserve">50. Дії, спрямовані на насильницьку зміну чи повалення конституційного ладу або захоплення державної влади (ст. 109 КК). Конституційні положення щодо основних засад життєдіяльності суспільства, держави й людини в Україні. </w:t>
      </w:r>
    </w:p>
    <w:p w:rsidR="00190EE6" w:rsidRPr="00190EE6" w:rsidRDefault="00190EE6" w:rsidP="00190EE6">
      <w:pPr>
        <w:pStyle w:val="Default"/>
        <w:jc w:val="both"/>
        <w:rPr>
          <w:sz w:val="28"/>
          <w:szCs w:val="28"/>
          <w:lang w:val="uk-UA"/>
        </w:rPr>
      </w:pPr>
      <w:r w:rsidRPr="00190EE6">
        <w:rPr>
          <w:sz w:val="28"/>
          <w:szCs w:val="28"/>
          <w:lang w:val="uk-UA"/>
        </w:rPr>
        <w:t xml:space="preserve">51. Державна зрада (ст. 111 КК). Відмінність від шпигунства. Закон України від 19 червня 2003 р. “Про основи національної безпеки України”.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52. Умисне вбивство (ст. 115 КК). Постанова Пленуму Верховного Суду України від 7 лютого 2003 р. № 2 “Про судову практику в справах про злочини проти життя та здоров’я особи”.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53. Умисне вбивство за обтяжуючих обставин (ч. 2 ст. 115 КК). Постанова Пленуму Верховного Суду України від 7 лютого 2003 р. № 2 “Про судову практику в справах про злочини проти життя та здоров’я особи”.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54. Умисні вбивства за пом’якшуючих обставин (ст. ст. 116, 117, 118 КК). Постанова Пленуму Верховного Суду України від 7 лютого 2003 р. № 2 “Про судову практику в справах про злочини проти життя та здоров’я особи”.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55. Умисне тяжке тілесне ушкодження (ст. 121 КК). Відмінність умисного тяжкого тілесного ушкодження, що спричинило смерть потерпілого, від умисного вбивства. Постанова Пленуму Верховного Суду України від 7 лютого 2003 р. № 2 “Про судову практику в справах про злочини проти життя та здоров’я особи”. </w:t>
      </w:r>
    </w:p>
    <w:p w:rsidR="00190EE6" w:rsidRPr="00190EE6" w:rsidRDefault="00190EE6" w:rsidP="00190EE6">
      <w:pPr>
        <w:pStyle w:val="Default"/>
        <w:spacing w:after="30"/>
        <w:jc w:val="both"/>
        <w:rPr>
          <w:sz w:val="28"/>
          <w:szCs w:val="28"/>
          <w:lang w:val="uk-UA"/>
        </w:rPr>
      </w:pPr>
      <w:r w:rsidRPr="00190EE6">
        <w:rPr>
          <w:sz w:val="28"/>
          <w:szCs w:val="28"/>
          <w:lang w:val="uk-UA"/>
        </w:rPr>
        <w:lastRenderedPageBreak/>
        <w:t xml:space="preserve">56. Умисне середньої тяжкості тілесне ушкодження (ст. 122 КК).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57. Залишення в небезпеці (ст. 135 КК). Відмінність від ненадання допомоги особі, яка перебуває в небезпечному для життя стані (ст. 136 КК).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58. Торгівля людьми або інша незаконна угода щодо людини (ст. 149 КК). Конвенція ООН про боротьбу з торгівлею людьми і експлуатацією проституції третіми особами від 21 березня 1949 р.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59. Зґвалтування (ст. 152 КК). Відмінність від насильницького задоволення статевої пристрасті неприродним способом. Постанова Пленуму Верховного Суду України від 30 травня 2008 р. № 5 “Про судову практику у справах про злочини проти статевої свободи та статевої недоторканості особи”.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60. Перешкоджання здійсненню виборчого права або права брати участь у референдумі, роботі виборчої комісії або комісії з референдуму чи діяльності офіціального спостерігача (ст. 157 КК).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61. Крадіжка (ст. 185 КК). Відмінність крадіжки від грабежу. Постанова Пленуму Верховного Суду України від 6 листопада 2009 р. № 10 “Про судову практику у справах про злочини проти власності”.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62. Грабіж (ст. 186 КК). Відмінність грабежу від розбою. Постанова Пленуму Верховного Суду України від 6 листопада 2009 р. № 10 “Про судову практику у справах про злочини проти власності”.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63. Розбій (ст. 187 КК). Відмінність розбою від бандитизму. Постанова Пленуму Верховного Суду України від 6 листопада 2009 р. № 10 “Про судову практику у справах про злочини проти власності”.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64. Вимагання (ст. 189 КК). Відмінність вимагання від розбою. Постанова Пленуму Верховного Суду України від 6 листопада 2009 р. № 10 “Про судову практику у справах про злочини проти власності”.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65. Шахрайство (ст. 190 КК). Постанова Пленуму Верховного Суду України від 6 листопада 2009 р. № 10 “Про судову практику у справах про злочини проти власності”.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66. Привласнення, розтрати майна або заволодіння ним шляхом зловживання службовим становищем (ст. 191 КК). Постанова Пленуму Верховного Суду України від 6 листопада 2009 р. № 10 “Про судову практику у справах про злочини проти власності”.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67.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збору чи голографічних захисних елементів (ст. 199 КК). Постанова Пленуму Верховного Суду України від 12 квітня 1996 р. № 6 “Про практику розгляду судами кримінальних справ про виготовлення або збут підроблених грошей чи цінних паперів”. </w:t>
      </w:r>
    </w:p>
    <w:p w:rsidR="00190EE6" w:rsidRPr="00190EE6" w:rsidRDefault="00190EE6" w:rsidP="00190EE6">
      <w:pPr>
        <w:pStyle w:val="Default"/>
        <w:jc w:val="both"/>
        <w:rPr>
          <w:sz w:val="28"/>
          <w:szCs w:val="28"/>
          <w:lang w:val="uk-UA"/>
        </w:rPr>
      </w:pPr>
      <w:r w:rsidRPr="00190EE6">
        <w:rPr>
          <w:sz w:val="28"/>
          <w:szCs w:val="28"/>
          <w:lang w:val="uk-UA"/>
        </w:rPr>
        <w:t xml:space="preserve">68. Контрабанда (ст. 201 КК). Постанова Пленуму Верховного Суду України від 3 червня 2005 р. № 8 “Про судову практику у справах про контрабанду та порушення митних правил”. Постанова Пленуму Верховного Суду України від 30 травня 2008 р. № 8 </w:t>
      </w:r>
    </w:p>
    <w:p w:rsidR="00190EE6" w:rsidRPr="00190EE6" w:rsidRDefault="00190EE6" w:rsidP="00190EE6">
      <w:pPr>
        <w:pStyle w:val="Default"/>
        <w:spacing w:after="30"/>
        <w:jc w:val="both"/>
        <w:rPr>
          <w:sz w:val="28"/>
          <w:szCs w:val="28"/>
          <w:lang w:val="uk-UA"/>
        </w:rPr>
      </w:pPr>
      <w:r w:rsidRPr="00190EE6">
        <w:rPr>
          <w:sz w:val="28"/>
          <w:szCs w:val="28"/>
          <w:lang w:val="uk-UA"/>
        </w:rPr>
        <w:lastRenderedPageBreak/>
        <w:t xml:space="preserve">“Про внесення змін та доповнень до постанови Пленуму Верховного Суду України від 3 червня 2005 року № 8 “Про судову практику у справах про контрабанду та порушення митних правил”.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69. Фіктивне підприємництво (ст. 205 КК). Постанова Пленуму Верховного Суду України від 25 квітня 2003 р. № 3 “Про практику застосування судами законодавства про відповідальність за окремі злочини у сфері господарської діяльності”.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70. Легалізація (відмивання) доходів, одержаних злочинним шляхом (ст. 209 КК). Постанова Пленуму Верховного Суду України від 15 квітня 2005 р. № 5 “Про практику застосування судами законодавства про кримінальну відповідальність за легалізацію (відмивання) доходів, одержаних злочинним шляхом”.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71. Ухилення від сплати податків, зборів (обов’язкових платежів) (ст. 212 КК). Постанова Пленуму Верховного Суду України від 8 жовтня 2004 р. № 15 “Про деякі питання застосування законодавства про відповідальність за ухилення від сплати податків, зборів, інших обов’язкових платежів”.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72. Шахрайство з фінансовими ресурсами (ст. 222 КК). Постанова Пленуму Верховного Суду України від 25 квітня 2003 р. № 3 “Про практику застосування судами законодавства про відповідальність за окремі злочини у сфері господарської діяльності”.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73. Порушення правил екологічної безпеки (ст. 236 КК). Постанова Пленуму Верховного Суду України від 10 грудня 2004 р. № 17 “Про судову практику у справах про злочини та інші порушення проти довкілля”.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74. Незаконне полювання (ст. 248 КК). Постанова Пленуму Верховного Суду України від 10 грудня 2004 р. № 17 “Про судову практику у справах про злочини та інші порушення проти довкілля”.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75. Бандитизм (ст. 257 КК). Відмінність цього злочину від створення злочинної організації. Постанова Пленуму Верховного Суду України від 23 грудня 2005 р. № 13 “Про практику розгляду судами кримінальних справ про злочини, вчиненими стійкими злочинними об’єднаннями”.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76. Терористичний акт (ст. 258 КК). Закон України “Про боротьбу з тероризмом” від 20 березня 2003 р.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77. Незаконне поводження зі зброєю, бойовими припасами або вибуховими речовинами (ст. 263 КК). Постанова Пленуму Верховного Суду України від 26 квітня 2002 р. № 3 “Про судову практику в справах про викрадення та інше незаконне поводження зі зброєю, бойовими припасами, вибуховими пристроями чи радіоактивними матеріалами”.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78. Порушення вимог законодавства про охорону праці (ст. 271 КК). Постанова Пленуму Верховного Суду України від 12 червня 2009 року № 7 “Про практику застосування судами України законодавства у справах злочини проти безпеки виробництва”.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79. Порушення правил безпеки дорожнього руху або експлуатації транспорту особами, які керують транспортними засобами (ст. 286 КК). Постанова Пленуму Верховного Суду України від 23 грудня 2005 р. № 14 “Про </w:t>
      </w:r>
      <w:r w:rsidRPr="00190EE6">
        <w:rPr>
          <w:sz w:val="28"/>
          <w:szCs w:val="28"/>
          <w:lang w:val="uk-UA"/>
        </w:rPr>
        <w:lastRenderedPageBreak/>
        <w:t xml:space="preserve">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80. Незаконне заволодіння транспортним засобом (ст. 289 КК). Постанова Пленуму Верховного Суду України від 23 грудня 2005 р. № 14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81. Хуліганство (ст. 296 КК). Відмінність від групового порушення громадського порядку та від масових заворушень. Постанова Пленуму Верховного Суду України від 22 грудня 2006 р. № 10 “Про судову практику в справах про хуліганство”. </w:t>
      </w:r>
    </w:p>
    <w:p w:rsidR="00190EE6" w:rsidRPr="00190EE6" w:rsidRDefault="00190EE6" w:rsidP="00190EE6">
      <w:pPr>
        <w:pStyle w:val="Default"/>
        <w:jc w:val="both"/>
        <w:rPr>
          <w:sz w:val="28"/>
          <w:szCs w:val="28"/>
          <w:lang w:val="uk-UA"/>
        </w:rPr>
      </w:pPr>
      <w:r w:rsidRPr="00190EE6">
        <w:rPr>
          <w:sz w:val="28"/>
          <w:szCs w:val="28"/>
          <w:lang w:val="uk-UA"/>
        </w:rPr>
        <w:t xml:space="preserve">82. Втягнення неповнолітніх у злочинну діяльність (ст. 304 КК). Постанова Пленуму Верховного Суду України від 27 лютого 2004 р. № 2 “Про застосування судами законодавства про відповідальність за втягнення неповнолітніх у злочинну чи іншу антигромадську діяльність”.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83. Незаконне виробництво, виготовлення, придбання, зберігання, перевезення чи збут наркотичних засобів, психотропних речовин або їх аналогів (ст. 307 КК). Постанова Пленуму Верховного Суду України від 26 квітня 2002 р. № 4 “Про судову практику в справах про злочини у сфері обігу наркотичних засобів, психотропних речовин, їх аналогів або прекурсорів”.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84. Розголошення державної таємниці (ст. 328 КК). Закон України “Про державну таємницю” від 21 січня 1994 р.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85. Опір представникові влади, працівникові правоохоронного органу, члену громадського формування з охорони громадського порядку і державного кордону або військовослужбовцеві (ст. 342 КК). Постанова Пленуму Верховного Суду України від 26 червня 1992 р. № 8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86. Втручання в діяльність працівника правоохоронного органу (ст. 343 КК). Постанова Пленуму Верховного Суду України від 26 червня 1992 р. № 8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87. Погроза або насильство щодо працівника правоохоронного органу (ст. 345 КК). Постанова Пленуму Верховного Суду України від 26 червня 1992 р. № 8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88.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 348 КК). Постанова Пленуму Верховного Суду України від 26 червня 1992 р. № 8 “Про застосування </w:t>
      </w:r>
      <w:r w:rsidRPr="00190EE6">
        <w:rPr>
          <w:sz w:val="28"/>
          <w:szCs w:val="28"/>
          <w:lang w:val="uk-UA"/>
        </w:rPr>
        <w:lastRenderedPageBreak/>
        <w:t xml:space="preserve">судами законодавства, що передбачає відповідальність за посягання на життя, здоров’я, гідність та власність суддів і працівників правоохоронних органів”.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89. Примушування до виконання чи невиконання цивільно-правових зобов’язань (ст. 355 КК). Відмінність від вимагання. Постанова Пленуму Верховного Суду України від 6 листопада 2009 р. № 10 “Про судову практику у справах про злочини проти власності”.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90. Зловживання владою або службовим становищем (ст. 364 КК). Постанова Пленуму Верховного Суду України від 26 грудня 2003 р. № 15 “Про судову практику в справах про перевищення влади або службових повноважень”.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91. Перевищення влади або службових повноважень (ст. 365 КК). Постанова Пленуму Верховного Суду України від 26 грудня 2003 р. № 15 “Про судову практику в справах про перевищення влади або службових повноважень”.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92. Прийняття пропозиції, обіцянки або одержання неправомірної вигоди службовою особою (ст. 368 КК). Постанова Пленуму Верховного Суду України від 26 квітня 2002 р. № 5 “Про судову практику у справах про хабарництво”.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93. Пропозиція або надання неправомірної вигоди службовій особі (ст. 369 КК). Постанова Пленуму Верховного Суду України від 26 квітня 2002 р. № 5 “Про судову практику у справах про хабарництво”.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94. Завідомо незаконні затримання, привід, арешт або тримання під вартою (ст. 371 КК). Конституційні положення щодо захисту свободи та особистої недоторканності людини.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95. Примушування давати показання (ст. 373 КК). Конституційні положення щодо забезпечення доведеності вини у вчиненні злочину. </w:t>
      </w:r>
    </w:p>
    <w:p w:rsidR="00190EE6" w:rsidRPr="00190EE6" w:rsidRDefault="00190EE6" w:rsidP="00190EE6">
      <w:pPr>
        <w:pStyle w:val="Default"/>
        <w:spacing w:after="30"/>
        <w:jc w:val="both"/>
        <w:rPr>
          <w:sz w:val="28"/>
          <w:szCs w:val="28"/>
          <w:lang w:val="uk-UA"/>
        </w:rPr>
      </w:pPr>
      <w:r w:rsidRPr="00190EE6">
        <w:rPr>
          <w:sz w:val="28"/>
          <w:szCs w:val="28"/>
          <w:lang w:val="uk-UA"/>
        </w:rPr>
        <w:t xml:space="preserve">96. Втеча з місця позбавлення волі або з-під варти (ст. 393 КК). Постанова Пленуму Верховного Суду України від 26 березня 1993 р. № 2 “Про судову практику в справах про злочини, пов’язані з порушенням режиму відбування покарання в місцях позбавлення волі”. </w:t>
      </w:r>
    </w:p>
    <w:p w:rsidR="00190EE6" w:rsidRPr="00190EE6" w:rsidRDefault="00190EE6" w:rsidP="00190EE6">
      <w:pPr>
        <w:pStyle w:val="Default"/>
        <w:jc w:val="both"/>
        <w:rPr>
          <w:sz w:val="28"/>
          <w:szCs w:val="28"/>
          <w:lang w:val="uk-UA"/>
        </w:rPr>
      </w:pPr>
      <w:r w:rsidRPr="00190EE6">
        <w:rPr>
          <w:sz w:val="28"/>
          <w:szCs w:val="28"/>
          <w:lang w:val="uk-UA"/>
        </w:rPr>
        <w:t xml:space="preserve">97. Порушення статутних правил взаємовідносин між військовослужбовцями за відсутності відносин підлеглості (ст. 406 КК). </w:t>
      </w:r>
    </w:p>
    <w:p w:rsidR="00190EE6" w:rsidRPr="00190EE6" w:rsidRDefault="00190EE6" w:rsidP="00190EE6">
      <w:pPr>
        <w:pStyle w:val="Default"/>
        <w:spacing w:after="25"/>
        <w:jc w:val="both"/>
        <w:rPr>
          <w:sz w:val="28"/>
          <w:szCs w:val="28"/>
          <w:lang w:val="uk-UA"/>
        </w:rPr>
      </w:pPr>
      <w:r w:rsidRPr="00190EE6">
        <w:rPr>
          <w:sz w:val="28"/>
          <w:szCs w:val="28"/>
          <w:lang w:val="uk-UA"/>
        </w:rPr>
        <w:t xml:space="preserve">98. Дезертирство (ст. 408 КК). Відмінність від самовільного залишення військової частини або місця служби. </w:t>
      </w:r>
    </w:p>
    <w:p w:rsidR="00190EE6" w:rsidRPr="00190EE6" w:rsidRDefault="00190EE6" w:rsidP="00190EE6">
      <w:pPr>
        <w:pStyle w:val="Default"/>
        <w:jc w:val="both"/>
        <w:rPr>
          <w:sz w:val="28"/>
          <w:szCs w:val="28"/>
          <w:lang w:val="uk-UA"/>
        </w:rPr>
      </w:pPr>
      <w:r w:rsidRPr="00190EE6">
        <w:rPr>
          <w:sz w:val="28"/>
          <w:szCs w:val="28"/>
          <w:lang w:val="uk-UA"/>
        </w:rPr>
        <w:t xml:space="preserve">99. </w:t>
      </w:r>
      <w:proofErr w:type="spellStart"/>
      <w:r w:rsidRPr="00190EE6">
        <w:rPr>
          <w:sz w:val="28"/>
          <w:szCs w:val="28"/>
          <w:lang w:val="uk-UA"/>
        </w:rPr>
        <w:t>Найманство</w:t>
      </w:r>
      <w:proofErr w:type="spellEnd"/>
      <w:r w:rsidRPr="00190EE6">
        <w:rPr>
          <w:sz w:val="28"/>
          <w:szCs w:val="28"/>
          <w:lang w:val="uk-UA"/>
        </w:rPr>
        <w:t xml:space="preserve"> (ст. 447 КК). Міжнародна конвенція про боротьбу з вербуванням, використанням, фінансуванням і навчанням найманців (ратифікована Україною 14 липня 1993 р.). </w:t>
      </w:r>
    </w:p>
    <w:p w:rsidR="00190EE6" w:rsidRDefault="00190EE6" w:rsidP="00190EE6">
      <w:pPr>
        <w:pStyle w:val="Default"/>
        <w:jc w:val="both"/>
        <w:rPr>
          <w:sz w:val="28"/>
          <w:szCs w:val="28"/>
          <w:lang w:val="uk-UA"/>
        </w:rPr>
      </w:pPr>
    </w:p>
    <w:sectPr w:rsidR="00190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A16DF"/>
    <w:multiLevelType w:val="hybridMultilevel"/>
    <w:tmpl w:val="9E01DA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584226"/>
    <w:multiLevelType w:val="hybridMultilevel"/>
    <w:tmpl w:val="0498F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C69CE3"/>
    <w:multiLevelType w:val="hybridMultilevel"/>
    <w:tmpl w:val="80EE9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6DACEC"/>
    <w:multiLevelType w:val="hybridMultilevel"/>
    <w:tmpl w:val="8569B1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7344C3"/>
    <w:multiLevelType w:val="hybridMultilevel"/>
    <w:tmpl w:val="06F12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7D638"/>
    <w:multiLevelType w:val="hybridMultilevel"/>
    <w:tmpl w:val="E0C7AA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28DF66"/>
    <w:multiLevelType w:val="hybridMultilevel"/>
    <w:tmpl w:val="06563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E6"/>
    <w:rsid w:val="00190EE6"/>
    <w:rsid w:val="004104BE"/>
    <w:rsid w:val="00C51C71"/>
    <w:rsid w:val="00C760B7"/>
    <w:rsid w:val="00DE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E6"/>
    <w:pPr>
      <w:spacing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0E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E6"/>
    <w:pPr>
      <w:spacing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0E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2014-09-05T05:21:00Z</dcterms:created>
  <dcterms:modified xsi:type="dcterms:W3CDTF">2014-09-19T12:32:00Z</dcterms:modified>
</cp:coreProperties>
</file>