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D1" w:rsidRPr="00453F60" w:rsidRDefault="006179D1" w:rsidP="006179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53F6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Тема 5. Злочини проти статевої свободи та статевої недоторканості особи.</w:t>
      </w:r>
    </w:p>
    <w:p w:rsidR="006179D1" w:rsidRPr="0036047E" w:rsidRDefault="006179D1" w:rsidP="006179D1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проти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статевої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свободи</w:t>
      </w:r>
      <w:proofErr w:type="spellEnd"/>
      <w:r>
        <w:rPr>
          <w:sz w:val="28"/>
          <w:szCs w:val="28"/>
          <w:lang w:val="ru-RU" w:eastAsia="ar-SA"/>
        </w:rPr>
        <w:t xml:space="preserve"> та </w:t>
      </w:r>
      <w:proofErr w:type="spellStart"/>
      <w:r>
        <w:rPr>
          <w:sz w:val="28"/>
          <w:szCs w:val="28"/>
          <w:lang w:val="ru-RU" w:eastAsia="ar-SA"/>
        </w:rPr>
        <w:t>статевої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недоторканості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r w:rsidRPr="00D42E41">
        <w:rPr>
          <w:sz w:val="28"/>
          <w:szCs w:val="28"/>
          <w:lang w:val="ru-RU" w:eastAsia="ar-SA"/>
        </w:rPr>
        <w:t xml:space="preserve"> особи</w:t>
      </w:r>
      <w:r>
        <w:rPr>
          <w:sz w:val="28"/>
          <w:szCs w:val="28"/>
          <w:lang w:val="ru-RU" w:eastAsia="ar-SA"/>
        </w:rPr>
        <w:t>.</w:t>
      </w:r>
    </w:p>
    <w:p w:rsidR="006179D1" w:rsidRDefault="006179D1" w:rsidP="006179D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 xml:space="preserve">злочинів проти </w:t>
      </w:r>
      <w:r w:rsidRPr="00453F60">
        <w:rPr>
          <w:sz w:val="28"/>
          <w:szCs w:val="28"/>
          <w:lang w:eastAsia="ar-SA"/>
        </w:rPr>
        <w:t>статевої свободи та статевої недоторканості</w:t>
      </w:r>
      <w:r>
        <w:rPr>
          <w:sz w:val="28"/>
          <w:szCs w:val="28"/>
          <w:lang w:eastAsia="ar-SA"/>
        </w:rPr>
        <w:t>, кваліфікуючі ознаки.</w:t>
      </w:r>
    </w:p>
    <w:p w:rsidR="006179D1" w:rsidRPr="0036047E" w:rsidRDefault="006179D1" w:rsidP="006179D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6179D1" w:rsidRPr="0036047E" w:rsidRDefault="006179D1" w:rsidP="006179D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6179D1" w:rsidRPr="00B83468" w:rsidRDefault="006179D1" w:rsidP="006179D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179D1" w:rsidRDefault="006179D1" w:rsidP="006179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Методичні рекомендації</w:t>
      </w:r>
    </w:p>
    <w:p w:rsidR="006179D1" w:rsidRDefault="006179D1" w:rsidP="006179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proofErr w:type="gram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3F60">
        <w:rPr>
          <w:rFonts w:ascii="Times New Roman" w:hAnsi="Times New Roman" w:cs="Times New Roman"/>
          <w:color w:val="000000"/>
          <w:sz w:val="28"/>
          <w:szCs w:val="28"/>
        </w:rPr>
        <w:t>ідготовці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теми студентам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звернути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перш за все на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свободи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недоторканості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особи”,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об’єктивні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суб’єктивні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властиві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злочинам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проаналізувати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складів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ст. 152-156 КК України,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запропонованими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джерелами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додаткової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судової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звернути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свободи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недоторканості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453F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встановленням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повторності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сукупності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конкуренції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- 36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межування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одного. При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використати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судової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Пленуму Верховного Суду України,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викладені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постанові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№ 5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30.05.2008 р. “Про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судову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практику</w:t>
      </w:r>
      <w:proofErr w:type="gram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свободи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недоторканості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особи”.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усвідомити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об’єктивної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зґвалтування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насильницького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пристрасті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неприродним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Діяння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зґвалтуванні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зносинах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природному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статевому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акті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53F60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протилежної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Діяння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передбачене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ст. 153 КК України, проявляться в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формах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зносин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насильство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погроза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безпорадного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потерпілої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особи)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зґвалтування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насильницького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пристрасті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неприродним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вичерпним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розширеному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тлумаченню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3F60">
        <w:rPr>
          <w:rFonts w:ascii="Times New Roman" w:hAnsi="Times New Roman" w:cs="Times New Roman"/>
          <w:color w:val="000000"/>
          <w:sz w:val="28"/>
          <w:szCs w:val="28"/>
        </w:rPr>
        <w:t>ідлягає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домагання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статевий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вказаних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шляхом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обману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зловживання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довірою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утворює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F60">
        <w:rPr>
          <w:rFonts w:ascii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453F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79D1" w:rsidRDefault="006179D1" w:rsidP="006179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3F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 окремо зупинитися на особливостях кваліфікації зґвалтування та насильницького задоволення статевої пристрасті неприродним способом, вчинених із застосуванням фізичного насильства (залежно від ступеня його небезпечності), зазначених у постанові Пленуму Верховного Суду України рекомендаціях щодо вирішення питання про встановлення сукупності злочинів у випадку заподіяння потерпілій особі середньої тяжкості тілесних ушкоджень при вчиненні цих злочинів. </w:t>
      </w:r>
      <w:r w:rsidRPr="006179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Звертаємо також увагу на те, що застосування насильства, яке було небезпечним для життя в момент заподіяння, визнаного тяжким тілесним ушкодженням лише за ознакою </w:t>
      </w:r>
      <w:r w:rsidRPr="006179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небезпечності для життя на момент його заподіяння (наприклад, </w:t>
      </w:r>
      <w:proofErr w:type="spellStart"/>
      <w:r w:rsidRPr="006179D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здавлення</w:t>
      </w:r>
      <w:proofErr w:type="spellEnd"/>
      <w:r w:rsidRPr="006179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шиї руками, внаслідок чого потерпіла особа втрачала свідомість), охоплюється саме ч. 1 ст. 152 або ч. 1 ст.153 КК України, оскільки не може вважатися таким, що спричинило особливо тяжкі наслідки при вчиненні злочину, і, залежно від ознак фактично вчиненого діяння, за правилами сукупності повинно кваліфікуватися ще й за ч.1 або ч. 2 ст.121 КК України.</w:t>
      </w:r>
    </w:p>
    <w:p w:rsidR="006179D1" w:rsidRDefault="006179D1" w:rsidP="006179D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79D1" w:rsidRPr="006179D1" w:rsidRDefault="006179D1" w:rsidP="006179D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</w:t>
      </w:r>
    </w:p>
    <w:p w:rsidR="006179D1" w:rsidRPr="00B83468" w:rsidRDefault="006179D1" w:rsidP="006179D1">
      <w:pPr>
        <w:pStyle w:val="a4"/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та види злочинів проти статевої свободи та статевої недоторканості.</w:t>
      </w:r>
    </w:p>
    <w:p w:rsidR="006179D1" w:rsidRPr="00B83468" w:rsidRDefault="006179D1" w:rsidP="006179D1">
      <w:pPr>
        <w:pStyle w:val="a4"/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sz w:val="28"/>
          <w:szCs w:val="28"/>
          <w:lang w:val="uk-UA"/>
        </w:rPr>
        <w:t>Характеристика окремих складів злочинів проти статевої свободи та статевої недоторканості особи.</w:t>
      </w:r>
    </w:p>
    <w:p w:rsidR="006179D1" w:rsidRPr="00B83468" w:rsidRDefault="006179D1" w:rsidP="006179D1">
      <w:pPr>
        <w:pStyle w:val="a4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9D1" w:rsidRPr="00453F60" w:rsidRDefault="006179D1" w:rsidP="006179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6179D1" w:rsidRPr="00453F60" w:rsidRDefault="006179D1" w:rsidP="006179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53F6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 (у питаннях та відповідях):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(Особлива частина) : підручник/за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Байлов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Особлива</w:t>
      </w: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частина: Практикум 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B834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Навроцький В. О. Основи кримінально-правової кваліфікації: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Правила судово-медичного визначення ступеня тяжкості тілесних ушкоджень: наказ Міністерства охорони здоров’я України від 17.01.1995 № 6 // База даних «Законодавство України»/Верховна Рада України. URL: http://zakon2.rada.gov.ua/laws/show/z0255-95 (дата</w:t>
      </w:r>
      <w:r w:rsidRPr="00B834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6179D1" w:rsidRPr="00B83468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судову практику в справах про злочини проти життя та здоров’я особи: Постанова Пленуму Верховного Суду України від 07.02.2003 № 2 // База даних «Законодавство України»/Верховна Рада України. URL: http://zakon2.rada.gov.ua/laws/show/v0002700-03 (дата</w:t>
      </w:r>
      <w:r w:rsidRPr="00B834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6179D1" w:rsidRPr="006179D1" w:rsidRDefault="006179D1" w:rsidP="006179D1">
      <w:pPr>
        <w:pStyle w:val="a3"/>
        <w:numPr>
          <w:ilvl w:val="0"/>
          <w:numId w:val="2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Про судову практику у справах про злочини проти статевої свободи та статевої недоторканності особи: Постанова Пленуму Верховног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 Суду України від 30.05.2008 № </w:t>
      </w: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// База даних «Законодавство України»/Верховна Рада України. URL: http://zakon5.rada.gov.ua/laws/show/v0005700-08 (дата</w:t>
      </w:r>
      <w:r w:rsidRPr="00B834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6179D1" w:rsidRDefault="006179D1" w:rsidP="006179D1">
      <w:pPr>
        <w:pStyle w:val="a3"/>
        <w:tabs>
          <w:tab w:val="num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6179D1" w:rsidRPr="006179D1" w:rsidRDefault="006179D1" w:rsidP="006179D1">
      <w:pPr>
        <w:pStyle w:val="a3"/>
        <w:tabs>
          <w:tab w:val="num" w:pos="108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179D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Практичні завдання</w:t>
      </w:r>
    </w:p>
    <w:p w:rsidR="006179D1" w:rsidRDefault="006179D1" w:rsidP="006179D1">
      <w:pPr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Задача 1. Н. і О., які випадково познайомилися в кафе із дев’ятнадцятирічною П., силою затягнули останню до підвалу та разом вчинили з нею насильницький статевий акт. Під час слідства було встановлено, що на момент вчинення злочину Н. виконалося сімнадцять, а О. – тринадцять років. Кваліфікуйте дії Н. і О. Відповідь поясніть. </w:t>
      </w:r>
    </w:p>
    <w:p w:rsidR="006179D1" w:rsidRDefault="006179D1" w:rsidP="006179D1">
      <w:pPr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Задача 2. У нічному клубі Р. познайомився з Д. і запропонував провести її додому. По дорозі у безлюдному місці він раптово напав на неї, повалив на землю та, застосовуючи фізичну силу, вступив у статеві зносини. За заявою Д. проти Р, було розпочато кримінальне провадження, однак через тиждень після цього вони одружилися. Кваліфікуйте дії Р. Відповідь поясніть. 22 Задача 3. Т. вступив у статеві зносини з Л., погрожуючи їй застосуванням фізичного насильства. За місяць до цього він задовольнив статеву пристрасть з О., використовуючи її безпорадний стан. Обидві жертви були повнолітніми особами та обидві звернулися із заявами до уповноважених органів щодо початку відносно Т. кримінального провадження. Кваліфікуйте дії Т. Відповідь поясніть. </w:t>
      </w:r>
    </w:p>
    <w:p w:rsidR="006179D1" w:rsidRDefault="006179D1" w:rsidP="006179D1">
      <w:pPr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Задача 4. Ш. було запрошено відсвяткувати певну подію на корпоративній вечірці у будинку одного зі співробітників фірми, де він працював. Під час свята Ш. заманив присутню на вечірці Ж. до безлюдної кімнати та, застосовуючи фізичне насильство, вступив з нею у статеві зносини. Через кілька годин, перебуваючи у стані сильного алкогольного сп’яніння, він, погрожуючи вбивством, вступив у статеві зносини з неповнолітньою В. Кваліфікуйте дії Ш. Відповідь поясніть. </w:t>
      </w:r>
    </w:p>
    <w:p w:rsidR="0067236C" w:rsidRPr="006179D1" w:rsidRDefault="006179D1" w:rsidP="006179D1">
      <w:pPr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>Задача 5. Маючи певні психічні вади, Ф. протягом року вступив із п’ятьма жінками у статеві зносини із застосуванням до них фізичної сили. За день до свого затримання Ф., використовуючи безпорадний стан тринадцятирічної О., задовольнив з нею статеву пристрасть неприродним способом. На підставі висновку судово-медичної експертизи Ф. було визнано осудним. Кваліфікуйте дії Ф. Відповідь поясніть.</w:t>
      </w:r>
    </w:p>
    <w:sectPr w:rsidR="0067236C" w:rsidRPr="006179D1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81"/>
    <w:multiLevelType w:val="hybridMultilevel"/>
    <w:tmpl w:val="F9B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7AD8"/>
    <w:multiLevelType w:val="hybridMultilevel"/>
    <w:tmpl w:val="2422B10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D1"/>
    <w:rsid w:val="006179D1"/>
    <w:rsid w:val="006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D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qFormat/>
    <w:rsid w:val="006179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Arial Unicode MS" w:hAnsi="Calibri" w:cs="Arial Unicode MS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6367</Characters>
  <Application>Microsoft Office Word</Application>
  <DocSecurity>0</DocSecurity>
  <Lines>53</Lines>
  <Paragraphs>14</Paragraphs>
  <ScaleCrop>false</ScaleCrop>
  <Company>Grizli777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2020-08-07T19:32:00Z</dcterms:created>
  <dcterms:modified xsi:type="dcterms:W3CDTF">2020-08-07T19:35:00Z</dcterms:modified>
</cp:coreProperties>
</file>