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27" w:rsidRPr="00790970" w:rsidRDefault="00E57A27" w:rsidP="00E57A27">
      <w:pPr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ЗМІСТ З ДИСЦИПЛІНИ</w:t>
      </w:r>
    </w:p>
    <w:p w:rsidR="00A00FF1" w:rsidRDefault="00E57A27" w:rsidP="009A767E">
      <w:pPr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"ЯКІСНІ І КІЛЬКІСНІ МЕТОДИ ДОСЛІДЖЕНЬ У СОЦІАЛЬНІЙ РОБОТІ".</w:t>
      </w:r>
    </w:p>
    <w:p w:rsidR="009A767E" w:rsidRDefault="009A767E" w:rsidP="009A767E">
      <w:pPr>
        <w:jc w:val="center"/>
        <w:rPr>
          <w:rStyle w:val="tlid-translatio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8562"/>
      </w:tblGrid>
      <w:tr w:rsidR="009A767E" w:rsidTr="002B2448">
        <w:tc>
          <w:tcPr>
            <w:tcW w:w="959" w:type="dxa"/>
          </w:tcPr>
          <w:p w:rsidR="009A767E" w:rsidRPr="00F35203" w:rsidRDefault="009A767E" w:rsidP="002B24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F35203">
              <w:rPr>
                <w:rStyle w:val="tlid-translation"/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Лекція </w:t>
            </w:r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12" w:type="dxa"/>
          </w:tcPr>
          <w:p w:rsidR="009A767E" w:rsidRPr="00F35203" w:rsidRDefault="009A767E" w:rsidP="002B2448">
            <w:pPr>
              <w:shd w:val="clear" w:color="auto" w:fill="FFFFFF"/>
              <w:spacing w:after="0" w:line="240" w:lineRule="auto"/>
              <w:jc w:val="both"/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Тема 1. Методологічні </w:t>
            </w:r>
            <w:proofErr w:type="spellStart"/>
            <w:r w:rsidRPr="00F35203">
              <w:rPr>
                <w:rStyle w:val="alt-edited"/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сучасної соціальної роботи.</w:t>
            </w:r>
          </w:p>
          <w:p w:rsidR="009A767E" w:rsidRPr="00F35203" w:rsidRDefault="009A767E" w:rsidP="002B24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Діагностика у соціальній роботі як спосіб розпізнавання і вимірювання соціальних та індивідуальних особливостей людини і групи. </w:t>
            </w:r>
            <w:proofErr w:type="spellStart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Номотетичні</w:t>
            </w:r>
            <w:proofErr w:type="spellEnd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і ідеографічні підходи у діагностиці соціальної роботи. Класифікації діагностичних методів. Методика як об'єктивний вимір. Умови стандартизації методики. Правила формування вибірки стандартизації. Обґрунтованість і придатність застосування методик. Загальне значення поняття </w:t>
            </w:r>
            <w:proofErr w:type="spellStart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валідності</w:t>
            </w:r>
            <w:proofErr w:type="spellEnd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. Надійність. </w:t>
            </w:r>
            <w:r w:rsidRPr="00F3520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Критерії и норми наукового пізнання.</w:t>
            </w:r>
            <w:r w:rsidRPr="00F3520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A767E" w:rsidTr="002B2448">
        <w:tc>
          <w:tcPr>
            <w:tcW w:w="959" w:type="dxa"/>
          </w:tcPr>
          <w:p w:rsidR="009A767E" w:rsidRPr="00F35203" w:rsidRDefault="009A767E" w:rsidP="002B24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F35203">
              <w:rPr>
                <w:rStyle w:val="tlid-translation"/>
                <w:rFonts w:ascii="Times New Roman" w:hAnsi="Times New Roman"/>
                <w:i/>
                <w:sz w:val="28"/>
                <w:szCs w:val="28"/>
                <w:lang w:val="uk-UA"/>
              </w:rPr>
              <w:t>Лекція</w:t>
            </w:r>
            <w:r w:rsidRPr="00F3520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8612" w:type="dxa"/>
          </w:tcPr>
          <w:p w:rsidR="009A767E" w:rsidRPr="00F35203" w:rsidRDefault="009A767E" w:rsidP="002B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Тема 2. Дослідження та його специфіка у соціальній роботі: співвідношення кількісних і якісних методів у дослідженні.</w:t>
            </w:r>
          </w:p>
          <w:p w:rsidR="009A767E" w:rsidRPr="00F35203" w:rsidRDefault="009A767E" w:rsidP="002B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Характеристики кількісних методів. Переваги і недоліки вимірювання кількісними методами (обмеження у використанні кількісних методів). Критика кількісних методів. Кількісні і якісні методи - порівняння і поєднання. Форми якісного знання в соціальних науках. Основні відмінні риси якісних методів дослідження в порівнянні з кількісними методами. Використання групових форм роботи з якісними методами. Приклад: поєднання методів. Використання комбінації різних методів. Компліментарність методів. </w:t>
            </w:r>
            <w:proofErr w:type="spellStart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Триангуляція</w:t>
            </w:r>
            <w:proofErr w:type="spellEnd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методів, даних.</w:t>
            </w:r>
          </w:p>
        </w:tc>
      </w:tr>
      <w:tr w:rsidR="009A767E" w:rsidTr="002B2448">
        <w:tc>
          <w:tcPr>
            <w:tcW w:w="959" w:type="dxa"/>
          </w:tcPr>
          <w:p w:rsidR="009A767E" w:rsidRPr="00F35203" w:rsidRDefault="009A767E" w:rsidP="002B2448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F35203">
              <w:rPr>
                <w:rStyle w:val="tlid-translation"/>
                <w:rFonts w:ascii="Times New Roman" w:hAnsi="Times New Roman"/>
                <w:i/>
                <w:sz w:val="28"/>
                <w:szCs w:val="28"/>
                <w:lang w:val="uk-UA"/>
              </w:rPr>
              <w:t>Лекція 3.</w:t>
            </w:r>
          </w:p>
        </w:tc>
        <w:tc>
          <w:tcPr>
            <w:tcW w:w="8612" w:type="dxa"/>
          </w:tcPr>
          <w:p w:rsidR="009A767E" w:rsidRPr="00F35203" w:rsidRDefault="009A767E" w:rsidP="002B2448">
            <w:pPr>
              <w:pStyle w:val="HTML"/>
              <w:contextualSpacing/>
              <w:jc w:val="both"/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Тема 3. Індивідуальні і групові методи дослідження. І частина</w:t>
            </w:r>
          </w:p>
          <w:p w:rsidR="009A767E" w:rsidRPr="00F35203" w:rsidRDefault="009A767E" w:rsidP="002B2448">
            <w:pPr>
              <w:pStyle w:val="HTML"/>
              <w:shd w:val="clear" w:color="auto" w:fill="FFFFFF"/>
              <w:contextualSpacing/>
              <w:jc w:val="both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Методи збору якісних даних. Опитування як метод збору первинної інформації. Опитування суцільні і вибіркові. Опитування заочні - анкетні і очні - інтерв'ю. Опитування стандартизовані і </w:t>
            </w:r>
            <w:proofErr w:type="spellStart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нестандартизовані</w:t>
            </w:r>
            <w:proofErr w:type="spellEnd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. Опитування одноразові і багаторазові. Експертне </w:t>
            </w:r>
            <w:proofErr w:type="spellStart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опитування.Переваги</w:t>
            </w:r>
            <w:proofErr w:type="spellEnd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методу опитування. Інтерв'ю як формалізований вид бесіди. Інтерв'ю стандартизовані, </w:t>
            </w:r>
            <w:proofErr w:type="spellStart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нестандартизовані</w:t>
            </w:r>
            <w:proofErr w:type="spellEnd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. Анкетування. Анкетне опитування як вид опитування. Анкетування суцільне, вибіркове. Індивідуальне анкетування. Процедури проведення опитування. Побудування анкети за частинами. Види анкетування. Метод інтерв'ю.</w:t>
            </w:r>
            <w:r w:rsidRPr="00F35203">
              <w:rPr>
                <w:rStyle w:val="1"/>
                <w:sz w:val="28"/>
                <w:szCs w:val="28"/>
                <w:lang w:val="uk-UA"/>
              </w:rPr>
              <w:t xml:space="preserve"> </w:t>
            </w:r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Інтерв'ювання, як різновид опитування. Переваги методу інтерв'ю перед анкетуванням. Недоліки методу інтерв'ю. Структура процесу інтерв'ювання. Інтерв'ю формалізовані і неформалізовані. Спрямоване і </w:t>
            </w:r>
            <w:proofErr w:type="spellStart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неспрямоване</w:t>
            </w:r>
            <w:proofErr w:type="spellEnd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інтерв'ю. Сфокусоване інтерв'ю. Типи респондентів інтерв'ю. Способи спілкування між дослідником і респондентом інтерв'ю. Техніка реєстрації відповідей інтерв'ю. Труднощі, що виникають при інтерв'юванні. Експертне опитування. Метод </w:t>
            </w:r>
            <w:proofErr w:type="spellStart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шкалювання</w:t>
            </w:r>
            <w:proofErr w:type="spellEnd"/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. Основні етапи інтерв'ю. Збір відомостей про </w:t>
            </w:r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респондента. Контакт з респондентами. Принципи ведення переговорів по телефону. Початок інтерв'ю. Фактори, що впливають на встановлення контакту з респондентом (стиль поведінки інтерв'юера). Організації як об'єкт дослідження.  </w:t>
            </w:r>
          </w:p>
        </w:tc>
      </w:tr>
      <w:tr w:rsidR="009A767E" w:rsidTr="002B2448">
        <w:tc>
          <w:tcPr>
            <w:tcW w:w="959" w:type="dxa"/>
          </w:tcPr>
          <w:p w:rsidR="009A767E" w:rsidRPr="00F35203" w:rsidRDefault="009A767E" w:rsidP="002B2448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F35203">
              <w:rPr>
                <w:rStyle w:val="tlid-translation"/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Лекція 4.</w:t>
            </w:r>
          </w:p>
        </w:tc>
        <w:tc>
          <w:tcPr>
            <w:tcW w:w="8612" w:type="dxa"/>
          </w:tcPr>
          <w:p w:rsidR="009A767E" w:rsidRPr="00F35203" w:rsidRDefault="009A767E" w:rsidP="002B2448">
            <w:pPr>
              <w:pStyle w:val="HTML"/>
              <w:contextualSpacing/>
              <w:jc w:val="both"/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5203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Тема 3. Індивідуальні і групові методи дослідження. ІІ частина</w:t>
            </w:r>
          </w:p>
          <w:p w:rsidR="009A767E" w:rsidRPr="00F35203" w:rsidRDefault="009A767E" w:rsidP="002B2448">
            <w:pPr>
              <w:pStyle w:val="a4"/>
              <w:spacing w:before="0" w:beforeAutospacing="0" w:after="0" w:afterAutospacing="0"/>
              <w:jc w:val="both"/>
              <w:rPr>
                <w:rStyle w:val="tlid-translation"/>
                <w:sz w:val="28"/>
                <w:szCs w:val="28"/>
                <w:lang w:val="uk-UA"/>
              </w:rPr>
            </w:pPr>
            <w:r w:rsidRPr="00F35203">
              <w:rPr>
                <w:rStyle w:val="tlid-translation"/>
                <w:sz w:val="28"/>
                <w:szCs w:val="28"/>
                <w:lang w:val="uk-UA"/>
              </w:rPr>
              <w:t xml:space="preserve">Кількісні методи вивчення кількісної визначеності соціальних явищ і процесів. Метод спостереження в дослідженнях. Збір первинних емпіричних даних. Переваги методу спостереження. Невключене спостереження. Включене спостереження. Наукове і буденне спостереження. Повторне спостереження. Труднощі методу спостереження. Програма спостереження,  етапи. </w:t>
            </w:r>
            <w:r w:rsidRPr="00F35203">
              <w:rPr>
                <w:sz w:val="28"/>
                <w:szCs w:val="28"/>
              </w:rPr>
              <w:t> </w:t>
            </w:r>
            <w:r w:rsidRPr="00F35203">
              <w:rPr>
                <w:rStyle w:val="tlid-translation"/>
                <w:sz w:val="28"/>
                <w:szCs w:val="28"/>
                <w:lang w:val="uk-UA"/>
              </w:rPr>
              <w:t xml:space="preserve">Види спостереження. Спостереження </w:t>
            </w:r>
            <w:proofErr w:type="spellStart"/>
            <w:r w:rsidRPr="00F35203">
              <w:rPr>
                <w:rStyle w:val="tlid-translation"/>
                <w:sz w:val="28"/>
                <w:szCs w:val="28"/>
                <w:lang w:val="uk-UA"/>
              </w:rPr>
              <w:t>структуралізовані</w:t>
            </w:r>
            <w:proofErr w:type="spellEnd"/>
            <w:r w:rsidRPr="00F35203">
              <w:rPr>
                <w:rStyle w:val="tlid-translatio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F35203">
              <w:rPr>
                <w:rStyle w:val="tlid-translation"/>
                <w:sz w:val="28"/>
                <w:szCs w:val="28"/>
                <w:lang w:val="uk-UA"/>
              </w:rPr>
              <w:t>неструктуалізовані</w:t>
            </w:r>
            <w:proofErr w:type="spellEnd"/>
            <w:r w:rsidRPr="00F35203">
              <w:rPr>
                <w:rStyle w:val="tlid-translation"/>
                <w:sz w:val="28"/>
                <w:szCs w:val="28"/>
                <w:lang w:val="uk-UA"/>
              </w:rPr>
              <w:t xml:space="preserve">. Спостереження включені і невключені. Спостереження польові та лабораторні. Спостереження діляться на систематичні і випадкові. Аналіз документів. Формалізований аналіз документальних джерел (контент-аналіз). Документ в соціальній роботі.  Класифікація документів. Офіційні документи.  Неофіційні документи. Письмові документи. Традиційний (класичний) і формалізований (контент-аналіз). Експеримент в дослідженнях з соціальної роботи. Форми експерименту. Види експерименту і методи відбору експериментальних груп. Логіка побудови і здійснення соціального експерименту. </w:t>
            </w:r>
          </w:p>
        </w:tc>
      </w:tr>
    </w:tbl>
    <w:p w:rsidR="009A767E" w:rsidRDefault="009A767E" w:rsidP="009A767E">
      <w:pPr>
        <w:jc w:val="center"/>
        <w:rPr>
          <w:rStyle w:val="tlid-translation"/>
          <w:sz w:val="28"/>
          <w:szCs w:val="28"/>
          <w:lang w:val="uk-UA"/>
        </w:rPr>
      </w:pPr>
    </w:p>
    <w:p w:rsidR="00312468" w:rsidRDefault="00312468" w:rsidP="00E57A27">
      <w:pPr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sectPr w:rsidR="00312468" w:rsidSect="00F2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996"/>
    <w:multiLevelType w:val="hybridMultilevel"/>
    <w:tmpl w:val="72A00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A16A3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79C4A0E"/>
    <w:multiLevelType w:val="hybridMultilevel"/>
    <w:tmpl w:val="926E2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A27"/>
    <w:rsid w:val="00044CEE"/>
    <w:rsid w:val="000C134E"/>
    <w:rsid w:val="001140CD"/>
    <w:rsid w:val="001A7655"/>
    <w:rsid w:val="002135B6"/>
    <w:rsid w:val="002316A5"/>
    <w:rsid w:val="002E2FD5"/>
    <w:rsid w:val="00312468"/>
    <w:rsid w:val="00344516"/>
    <w:rsid w:val="00372F64"/>
    <w:rsid w:val="00373483"/>
    <w:rsid w:val="00392941"/>
    <w:rsid w:val="003A6717"/>
    <w:rsid w:val="003B326B"/>
    <w:rsid w:val="00437C66"/>
    <w:rsid w:val="004A4545"/>
    <w:rsid w:val="004F0AFA"/>
    <w:rsid w:val="004F0CA3"/>
    <w:rsid w:val="00506B3C"/>
    <w:rsid w:val="00542958"/>
    <w:rsid w:val="005A6B99"/>
    <w:rsid w:val="005C3340"/>
    <w:rsid w:val="006833DF"/>
    <w:rsid w:val="006C58D0"/>
    <w:rsid w:val="006D1B39"/>
    <w:rsid w:val="00727BE4"/>
    <w:rsid w:val="007E2D41"/>
    <w:rsid w:val="0081230E"/>
    <w:rsid w:val="00835526"/>
    <w:rsid w:val="008D67BE"/>
    <w:rsid w:val="008D73F4"/>
    <w:rsid w:val="00923174"/>
    <w:rsid w:val="00927644"/>
    <w:rsid w:val="00973011"/>
    <w:rsid w:val="00994EF7"/>
    <w:rsid w:val="0099743D"/>
    <w:rsid w:val="009A767E"/>
    <w:rsid w:val="00A00FF1"/>
    <w:rsid w:val="00BC1127"/>
    <w:rsid w:val="00C729E9"/>
    <w:rsid w:val="00C7410F"/>
    <w:rsid w:val="00DA0676"/>
    <w:rsid w:val="00E35CAB"/>
    <w:rsid w:val="00E46F9E"/>
    <w:rsid w:val="00E57A27"/>
    <w:rsid w:val="00E9114E"/>
    <w:rsid w:val="00E936FE"/>
    <w:rsid w:val="00F21216"/>
    <w:rsid w:val="00F8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16"/>
  </w:style>
  <w:style w:type="paragraph" w:styleId="2">
    <w:name w:val="heading 2"/>
    <w:basedOn w:val="a"/>
    <w:next w:val="a"/>
    <w:link w:val="20"/>
    <w:unhideWhenUsed/>
    <w:qFormat/>
    <w:rsid w:val="00E57A2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A2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en-US"/>
    </w:rPr>
  </w:style>
  <w:style w:type="table" w:styleId="a3">
    <w:name w:val="Table Grid"/>
    <w:basedOn w:val="a1"/>
    <w:uiPriority w:val="59"/>
    <w:rsid w:val="00E57A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E57A27"/>
  </w:style>
  <w:style w:type="character" w:customStyle="1" w:styleId="alt-edited">
    <w:name w:val="alt-edited"/>
    <w:basedOn w:val="a0"/>
    <w:rsid w:val="00E57A27"/>
  </w:style>
  <w:style w:type="paragraph" w:styleId="HTML">
    <w:name w:val="HTML Preformatted"/>
    <w:basedOn w:val="a"/>
    <w:link w:val="HTML0"/>
    <w:uiPriority w:val="99"/>
    <w:unhideWhenUsed/>
    <w:rsid w:val="00923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3174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23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 №1_"/>
    <w:basedOn w:val="a0"/>
    <w:link w:val="10"/>
    <w:rsid w:val="005429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429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29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42958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542958"/>
    <w:pPr>
      <w:widowControl w:val="0"/>
      <w:shd w:val="clear" w:color="auto" w:fill="FFFFFF"/>
      <w:spacing w:before="240" w:after="6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42958"/>
    <w:pPr>
      <w:widowControl w:val="0"/>
      <w:shd w:val="clear" w:color="auto" w:fill="FFFFFF"/>
      <w:spacing w:before="60" w:after="60" w:line="317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5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F0C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47</cp:revision>
  <dcterms:created xsi:type="dcterms:W3CDTF">2020-08-29T12:47:00Z</dcterms:created>
  <dcterms:modified xsi:type="dcterms:W3CDTF">2020-09-18T19:12:00Z</dcterms:modified>
</cp:coreProperties>
</file>