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8"/>
        <w:gridCol w:w="750"/>
      </w:tblGrid>
      <w:tr w:rsidR="00CD703B" w:rsidRPr="00CD703B" w:rsidTr="00CD703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292" w:rsidRDefault="006B2292" w:rsidP="006B2292">
            <w:pPr>
              <w:spacing w:before="100" w:beforeAutospacing="1" w:after="100" w:afterAutospacing="1" w:line="240" w:lineRule="auto"/>
              <w:ind w:left="-567" w:right="-426" w:firstLine="709"/>
              <w:jc w:val="both"/>
              <w:outlineLvl w:val="3"/>
              <w:rPr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ru-RU"/>
              </w:rPr>
              <w:t xml:space="preserve">4 Тема: </w:t>
            </w:r>
            <w:r w:rsidR="00CD703B" w:rsidRPr="00CD703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Литовсько-Руська держава (xiv-xvi ст.)</w:t>
            </w:r>
            <w:r w:rsidRPr="00FC2A60">
              <w:rPr>
                <w:lang w:eastAsia="ru-RU"/>
              </w:rPr>
              <w:t xml:space="preserve"> </w:t>
            </w:r>
          </w:p>
          <w:p w:rsidR="00CD703B" w:rsidRPr="00CD703B" w:rsidRDefault="006B2292" w:rsidP="006B2292">
            <w:pPr>
              <w:spacing w:before="100" w:beforeAutospacing="1" w:after="100" w:afterAutospacing="1" w:line="240" w:lineRule="auto"/>
              <w:ind w:left="-567" w:right="-426"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6B229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Право і суд Литовсько-Руської держави (xiv-xvi ст.)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03B" w:rsidRPr="00CD703B" w:rsidRDefault="00CD703B" w:rsidP="006B2292">
            <w:pPr>
              <w:spacing w:after="0" w:line="240" w:lineRule="auto"/>
              <w:ind w:left="-567" w:right="-426"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032FFA" w:rsidRPr="006B2292" w:rsidRDefault="00CD703B" w:rsidP="006B22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1 Утворення Литовсько-Руської держави.</w:t>
      </w:r>
    </w:p>
    <w:p w:rsidR="006B2292" w:rsidRPr="006B2292" w:rsidRDefault="00CD703B" w:rsidP="006B22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2 Сусп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i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льний устрiй.</w:t>
      </w:r>
    </w:p>
    <w:p w:rsidR="00957387" w:rsidRPr="00957387" w:rsidRDefault="00CD703B" w:rsidP="009573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"https://dl.sumdu.edu.ua/textbooks/27961/108225/index.html" \l "p3" </w:instrTex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3 Державний лад.</w:t>
      </w:r>
      <w:r w:rsidR="0095738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uk-UA" w:eastAsia="ru-RU"/>
        </w:rPr>
        <w:t xml:space="preserve"> </w:t>
      </w:r>
    </w:p>
    <w:p w:rsidR="00957387" w:rsidRPr="00957387" w:rsidRDefault="006B2292" w:rsidP="009573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38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uk-UA" w:eastAsia="ru-RU"/>
        </w:rPr>
        <w:t xml:space="preserve">4 </w:t>
      </w:r>
      <w:r w:rsidRPr="0095738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Судова система і судовий процес</w:t>
      </w:r>
      <w:r w:rsidRPr="0095738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uk-UA" w:eastAsia="ru-RU"/>
        </w:rPr>
        <w:t>.</w:t>
      </w:r>
      <w:r w:rsidR="00957387" w:rsidRPr="0095738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uk-UA" w:eastAsia="ru-RU"/>
        </w:rPr>
        <w:t xml:space="preserve"> </w:t>
      </w:r>
      <w:r w:rsidR="0095738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uk-UA" w:eastAsia="ru-RU"/>
        </w:rPr>
        <w:t xml:space="preserve"> </w:t>
      </w:r>
    </w:p>
    <w:p w:rsidR="006B2292" w:rsidRPr="00957387" w:rsidRDefault="00957387" w:rsidP="009573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38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uk-UA" w:eastAsia="ru-RU"/>
        </w:rPr>
        <w:t>5 Основні риси права.</w:t>
      </w:r>
    </w:p>
    <w:p w:rsidR="006B2292" w:rsidRPr="006B2292" w:rsidRDefault="00957387" w:rsidP="006B22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6 Галузі права</w:t>
      </w:r>
    </w:p>
    <w:tbl>
      <w:tblPr>
        <w:tblW w:w="5000" w:type="pct"/>
        <w:tblInd w:w="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8"/>
        <w:gridCol w:w="750"/>
      </w:tblGrid>
      <w:tr w:rsidR="006B2292" w:rsidRPr="006B2292" w:rsidTr="00AC102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292" w:rsidRPr="006B2292" w:rsidRDefault="006B2292" w:rsidP="006B2292">
            <w:pPr>
              <w:spacing w:before="100" w:beforeAutospacing="1" w:after="100" w:afterAutospacing="1" w:line="240" w:lineRule="auto"/>
              <w:ind w:right="-426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ru-RU"/>
              </w:rPr>
            </w:pP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292" w:rsidRPr="006B2292" w:rsidRDefault="006B2292" w:rsidP="00AC102A">
            <w:pPr>
              <w:spacing w:after="0" w:line="240" w:lineRule="auto"/>
              <w:ind w:left="-567" w:right="-426"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CD703B" w:rsidRPr="00957387" w:rsidRDefault="00CD703B" w:rsidP="006B2292">
      <w:pPr>
        <w:shd w:val="clear" w:color="auto" w:fill="FFFFFF"/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CD703B" w:rsidRPr="006B2292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="00032FFA"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Список використаних джерел:</w:t>
      </w:r>
    </w:p>
    <w:p w:rsidR="00032FFA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https://dl.sumdu.edu.ua/textbooks/27961/108225/index.html</w:t>
      </w:r>
    </w:p>
    <w:p w:rsidR="00032FFA" w:rsidRPr="006B2292" w:rsidRDefault="007806B1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806B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https://dl.sumdu.edu.ua/textbooks/27961/108251/index.html</w:t>
      </w:r>
    </w:p>
    <w:p w:rsidR="00032FFA" w:rsidRDefault="00032FFA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06B1" w:rsidRPr="00CD703B" w:rsidRDefault="007806B1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CD703B" w:rsidRPr="00CD703B" w:rsidRDefault="00CD703B" w:rsidP="006B2292">
      <w:pPr>
        <w:shd w:val="clear" w:color="auto" w:fill="FFFFFF"/>
        <w:spacing w:after="0" w:line="240" w:lineRule="auto"/>
        <w:ind w:left="-567" w:right="-426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bookmarkStart w:id="1" w:name="p1"/>
      <w:r w:rsidRPr="00CD703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Утворення Литовсько-Руської держави.</w:t>
      </w:r>
      <w:bookmarkEnd w:id="1"/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Внаслідок занепаду Галицька-Волинського князівства, зумовленого васальною залежністю від Золотої Орди, суперечками між князем і боярами, над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івденно-західними землями Русі нависла загроза втручання в їх справи з боку сусідів - Польщі, Угорщини, Литви, Молдови і Золотої Орди.</w:t>
      </w:r>
    </w:p>
    <w:p w:rsidR="00CD703B" w:rsidRPr="00CD703B" w:rsidRDefault="00350B0D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8" w:history="1">
        <w:r w:rsidR="00CD703B" w:rsidRPr="00CD70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Див</w:t>
        </w:r>
        <w:proofErr w:type="gramStart"/>
        <w:r w:rsidR="00CD703B" w:rsidRPr="00CD70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gramEnd"/>
        <w:r w:rsidR="00CD703B" w:rsidRPr="00CD70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gramStart"/>
        <w:r w:rsidR="00CD703B" w:rsidRPr="00CD70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</w:t>
        </w:r>
        <w:proofErr w:type="gramEnd"/>
        <w:r w:rsidR="00CD703B" w:rsidRPr="00CD70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аблицю</w:t>
        </w:r>
      </w:hyperlink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Успішні походи короля Казимира ІІІ завершилися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ідпорядкуванням в середині ХІV ст. Галичини і Холмщини, а 1387 р. їх остаточно включено до Польщі.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50-х роках ХІV ст. розпочалося просування литовців на Волинь і Подніпров'я. На початку 60-х рр. до Литви були приєднані Київське, Чернігівське, Переяславське князівства, а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ісля перемоги над Синіми Водами (1362) і Поділля.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приєднанням колишніх земель Київської Русі Литовське князівство перетворилося на велику державу. Майже 90% населення складали українці, білоруси, росіяни; 80% території - українські, білоруські й російські землі.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 землі були приєднані мирним шляхом.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Руські землі зберегли свою автономію. 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Великий князь Литовський зобов'язувався боронити землю, а удільні князі і бояри - служити великому князю. На чолі великих князівств стояли переважно представники литовських князів (сини, племінники Ольгерда), у невеликих удільних князівствах - українські князі, нащадки Володимира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Великого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На </w:t>
      </w:r>
      <w:proofErr w:type="gramStart"/>
      <w:r w:rsidRPr="00CD70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</w:t>
      </w:r>
      <w:proofErr w:type="gramEnd"/>
      <w:r w:rsidRPr="00CD70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ісцях залишалися старі органи влади. 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Литовці додержувалися правила: "</w:t>
      </w:r>
      <w:r w:rsidRPr="00CD703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Ми старину не рушимо, а новини не вводимо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Православ'я зберігало статус державної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ігії. Руська Правда тривалий час була головним джерелом права у Великому князівстві Литовському. Прийнятий у XVI ст. Литовський статут був написаний руською мовою.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Тобто в межах литовсько-руського об'єднання українські землі зберігали важливі елементи державності: територію, органи управління, військо, фінанси, судову систему тощо. Були збережені місцеві порядки, культура, звичаї, традиції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державного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життя. До того ж литовські князі вели боротьбу проти зовнішніх ворогів. Литовське князівство поступово перетоворюється на Литовсько-Руську державу з офіційною назвою Велике князівство Литовське, Руське і Жемойтське.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історії державного розвитку Великого князівства Литовського виділяють такі періоди: федеративно-князівський (до початку ХV ст.), федератвно-земський (до початку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VI ст.) та єдинодержавний (XVI ст.).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Взаємовплив литовських і руських етнічних елементів спостерігався у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ізних галузях життя: суспільно-політичній, урядово-адміністративній, духовній, культурно-побутовій, звичаєво-правовій тощо.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 того, князь Ольгерд (1345-1377) ще у другій половині XІV ст. розпочав збирання руських земель під владою Литви, тоді як московські князі проголосили таку політику лише у ХV ст.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Проте в останній чверті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IV ст. відбулися події, які вплинули на розвиток Литовсько-Руської держави.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ісля Куліковської битви 1380 р. послаблюється залежність Московського князівства від Золотої Орди. Внаслідок загрози з боку Тевтонського ордену і Московської держави розпочався процес зближення Литви і Польші.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Головні етапи створення польсько-литовського союзу:</w:t>
      </w:r>
    </w:p>
    <w:p w:rsidR="00CD703B" w:rsidRPr="00CD703B" w:rsidRDefault="00350B0D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9" w:history="1">
        <w:r w:rsidR="00CD703B" w:rsidRPr="00CD70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Див</w:t>
        </w:r>
        <w:proofErr w:type="gramStart"/>
        <w:r w:rsidR="00CD703B" w:rsidRPr="00CD70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.т</w:t>
        </w:r>
        <w:proofErr w:type="gramEnd"/>
        <w:r w:rsidR="00CD703B" w:rsidRPr="00CD70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аблицю</w:t>
        </w:r>
      </w:hyperlink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Кревська унія 1385 р.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Великий князь литовський Ягайло, одружившись з польською королевою Ядвігою, став польським королем. Литва мала прийняти католицизм, віддати казну 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Польщі, заплатити 200 тис. форинтів австрійському королю за відмову від Ядвіги, приєднати до Польщі литовські і руські землі. Це зміцнило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ольщу. У 1387 р. Галичина остаточно була визнана територією Польського королівства. Серед литовської еліти виникла опозиція до Ягайла. Її підтримали українсько-білоруські князі. Очолив опозицію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ітовт. Невдовзі унія була скасована. Вітовт домігся відновлення самостійності князівства. Ягайло затвердив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ітовта довічним Великим князем Литовським.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Городельська унія 1413 р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Після поразки військ Вітовта на р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.В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орскла 1399 р., литовсько-московської війни (1406-1408 р.), переходу частини українських князів на бік Москви знов посилився процес об'єднання Литви і Польщі. За новою унією урівнялися в правах польська і литовська шляхта. Обидві держави зберігали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ій суверенітет. Однак Литва опинилася у васальній залежності від Польщі, оскільки обрання князя литовського контролювалося і затверджувалося польським королем. Тим не менш авторитет Литви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В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ітовта на міжнародній арені зріс.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Проте саме за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ітовта розпочався процес ліквідації автономії українських земель. Протягом першої половини Х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ст. було скасовавано автономний устрій. Замість князі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місцях почали правити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існики великого князя. Волинь, Київщина і Поділля перетворилися на воєводства, що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ідлягали безпосередньо великому князю. Посади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євод і старост обіймали місцеві феодали, призначені князем.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Люблінська унія 1569 р.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Корона Польська і Велике князівство Литовське об'єдналися в єдину державу -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іч Посполиту. Всього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між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Польщею і Литвою було укладено близько десяти уній. Але Люблінською унією завершився тривалий процес об'єднання цих двох держав.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ільш детально про Люблінську унію дивіться нижче.</w:t>
      </w:r>
    </w:p>
    <w:p w:rsidR="00CD703B" w:rsidRPr="00CD703B" w:rsidRDefault="00CD703B" w:rsidP="006B2292">
      <w:pPr>
        <w:shd w:val="clear" w:color="auto" w:fill="FFFFFF"/>
        <w:spacing w:after="0" w:line="240" w:lineRule="auto"/>
        <w:ind w:left="-567" w:right="-426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bookmarkStart w:id="2" w:name="p2"/>
      <w:r w:rsidRPr="00CD703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Суспільний устрій.</w:t>
      </w:r>
      <w:bookmarkEnd w:id="2"/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структурі суспільства можна виділити такі групи: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Князі.</w:t>
      </w:r>
      <w:r w:rsidRPr="00CD70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Представники цієї категорії обіймали вищі посади місцевої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іністрації - воєвод, старост, каштелянів. Вони були різного походження.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князями з династії Гедиміновичів були Вишневецькі, Сангушки, Олельковичі, Острозькі, Чорторийські, Руженські та інші; Рюриковичів - Курбські, Лукомські, Кропотки, Четвертинські, Масальські, Оболенські, Сокольські, Пронські та інші; нащадки литовських удільних князів - Гольшанські, Ямонтовичі, тюркського походження - Глинські (Путивльські), Половці, Яголдаї, Темрюки, князі невстановленого походження - Капуста, Смаги, Козекі, Деревинські, Подгорські та інші.</w:t>
      </w:r>
      <w:proofErr w:type="gramEnd"/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Князям на українських землях належало близько 10%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приватного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земельного фонду. Головний елемент князівського права - суверенність землеволодіння. Князь мав 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право оголошувати власні розпорядження, жалувані грамоти, надавати землі своїм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ідлеглим, встановлювати повинності (незалежно від держави), право суду над підданими. Він - повний сюзерен свого володіння, з яким він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іг вийти зі складу держави. Так, Бельські, Одоєвські, Трубецькі перейшли до Московського князя. Це могли собі дозволити лише династичні князі, а не служилі.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Пани 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(магнати) - своє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ідна аристократія. Походить слово від чеського "пан" - вищий світський або церковний феодал. Пани були двох категорій: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пани радні 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члени великокнязівської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ради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пани хоруговні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мали своє військо і виводили його на війну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 власними знаменами ( ¾ війська країни - це воїни панів хоруговних)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Головними ознаками панів були давність роду, отчинне (вотчинне) землеволодіння (невід'ємна власність роду, що передавалася у спадок). Проте було чимало і вислуг-кормлінь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Х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-ХVІ ст. за етнічним складом пани Київщини і Брацлавщини поділялися так: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50% - місцевий руський елемент.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30% - тюркський (Балагура, Хлус, Шепіль, Калантай, Булгак, Кожан, Долмат, Шемет, Чечель). Вітовт осаджував (дозволяв оселятися на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іцевих землях за умови визнання влади князя) татар або приєднував приграничні території, яки були улусами хана, визначаючи за татарами їхні права феодала. Курщина, Путівльщина - тьма Яголдая, прийняв зверхність литовського князя.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10% - волинський.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Решта - литовсько-білорусько-молдавсько-російський елемент.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Панам належало приблизно 30%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приватного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земельного фонду держави. Представники цього стану обіймали нижчі урядові посади - ключників, городничих, мостовничих, хорунжих. Пани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ідлягали виключно юрисдикції великого князя.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ісля земських реформ 1564-1566 рр. титул пан став приналежністю кожного шляхтича. Головні обов'язки: участь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військовому поході (військова повинність), направа укріплень (замкова повинність), зведення мостів (мостова повинність).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Шляхта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(зем'яни) - верства (приблизно 2,5% від усього населення), що сиді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 на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землях, отриманих за військову службу. Основна маса постійного війська. Вона приводила з собою у військо своїх людей.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етнічним складом у складі шляхти були українці, білоруси (Служки, Полози) литовці, Недригайли, Пашути), молдави (Балики, Бринзи), угорці (Волощини), росіяни (Образцови, Московіти, Позняки, Грязні, Болотовичі).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Виконували військову і прикордонну службу, канцелярські функції. 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Користувалися привілеями: звільнялися від сплати податків, не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ідлягали місцевій адміністрації. Це не була замкнена верства. До неї за певних обставин могли долучатися селяни, міщани, священики.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Путні бояри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або </w:t>
      </w:r>
      <w:r w:rsidRPr="00CD70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панцирні слуги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службовці, які виконували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ізні повинності - поштову, подорожну. За це отримували від уряду королівщини (державні села). Вони служили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війську персонально і виконували допоміжну функцію. Між козаками, боярами, панцирними слугами на прикордонні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ізниця у статусі була невелика.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Духовенство 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(православне і католицьке)</w:t>
      </w:r>
      <w:r w:rsidRPr="00CD70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Це - священики та їх родини. Вони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ідлягали суду єпископа. Духовенство поділялося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біле і чорне. Церковні посади були спадковими. Церкви та монастирі володіли селами,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маєтками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містами. Церкви заснували князі, пани, шляхта,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іщани, селяни. Церква справляла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великий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вплив на мораль, культуру, освіту місцевого населення. За привілеєм 1387 р. католицьке духовенство звільнялося від податків,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ізніше мало своє представництво у Пани-Раді.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Козаки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Про них йтиметься у наступних лекціях.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Селянство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антипод шляхти.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Чим б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ільше шляхта здобувала прав, тим більше втрачали селяни. Селяни поділялося на: </w:t>
      </w:r>
      <w:r w:rsidRPr="00CD70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вільних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(смерди), </w:t>
      </w:r>
      <w:r w:rsidRPr="00CD70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напі</w:t>
      </w:r>
      <w:proofErr w:type="gramStart"/>
      <w:r w:rsidRPr="00CD70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вв</w:t>
      </w:r>
      <w:proofErr w:type="gramEnd"/>
      <w:r w:rsidRPr="00CD70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ільних </w:t>
      </w:r>
      <w:r w:rsidRPr="00CD70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закупи, непохоже), </w:t>
      </w:r>
      <w:r w:rsidRPr="00CD70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невільних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холопи, раби, отчичі (кріпаки). Проте усі були феодально залежними.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Вільні селяни мали земельні наділи, господарство і повну правоздатність. За вбивство селянина передбачалося покарання, як за і вбивство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ібного шляхтича.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Селяни були об'єднані у громади, очолювані старостою (отаманом). При старості існувала рада (обиралася на 1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ік.). Староста і члени ради здійснювали копний (громадський) суд. Мешкали селяни "дворищами" (кілька хат), які очолював голова. Дворище - одиниця оподаткування. Декілька дворищ складали село, а кілька сел - волость.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ХVІ ст. селянську землю почали вважати державною або панською. Селянам заборонялося продавати свої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іли. Юридично це було закріплено у 1557 р. "</w:t>
      </w:r>
      <w:r w:rsidRPr="00CD703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Уставою на волоки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". Згідно з нею встановлювався розмі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волоки (приблизно 17-21 дес. на дворище), а решта землі віддавалося шляхті, яка на цих землях засновувала </w:t>
      </w:r>
      <w:r w:rsidRPr="00CD70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фільварки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обмежувалося право переходу селян, встановлювалася низка повинностей на користь держави та шляхти (чинш, панщина), усі землевласники одержали право суду над селянами. Лише тяжкі злочини залишалися у компетенції державних суддів (розбій, покалічення шляхтича тощо). Втрачається роль громади.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іпацтво у Галичині запровадили у ХV ст., Великому князівстві Литовському - у ХVІ ст.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Єдине, що залишилося від свободи селянина, це те, що його не можна було продати без землі та безкарно вбити.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характером виконання повинностей селяни поділялися на 3 категорії: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Тяглові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які відробляли панщину, спочатку 8-10 днів на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ік, а потім - 2-4 дні на тиждень. Сплачували державі податок (подимщина, поголовщина, воловщина).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Чиншові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які платили чинш (податок натурою - медом, зерном, шкірою).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Ремісники і службові (путні) селяни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колісники, пекарі. Об'єднувалися у сотні. Жили біля замків й обслуговували їх.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Міське населення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Воно було організоване за німецьким зразком. Існував поді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корпорації, в яких привілейоване становище мало </w:t>
      </w:r>
      <w:r w:rsidRPr="00CD70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купецтво, лихварі, реміснича верхівка, магістратські чиновники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Значну кількість міщан складали середні торговці, власники промислів, бюргерство (поспільство). Усі категорії міського населення об'єднувалися у цехи з власним статутом, судом і цехмістром на чолі. До міських низів належали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ібні торговці та ремісники, підмайстри, учні, слуги, наймити, позацехові ремісники ("партачі"), декласовані елементи.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Окремі міста отримали </w:t>
      </w:r>
      <w:r w:rsidRPr="00CD70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Магдебурзьке право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Але повну правоздатність мали тільки міщани-католики. Прававославних зобов'язували жити лише в певних районах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іста.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Міста були великокнязівські, приватновласницькі, церковні і самоврядні.</w:t>
      </w:r>
    </w:p>
    <w:p w:rsidR="00CD703B" w:rsidRPr="00CD703B" w:rsidRDefault="00CD703B" w:rsidP="006B2292">
      <w:pPr>
        <w:shd w:val="clear" w:color="auto" w:fill="FFFFFF"/>
        <w:spacing w:after="0" w:line="240" w:lineRule="auto"/>
        <w:ind w:left="-567" w:right="-426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bookmarkStart w:id="3" w:name="p3"/>
      <w:r w:rsidRPr="00CD703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Державний лад.</w:t>
      </w:r>
      <w:bookmarkEnd w:id="3"/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Структура державної влади багато в чому копіювала структуру влади Київської Русі. Проте були й певні особливості.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Великий князь 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(господар)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стояв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чолі держави. Уособлював законодавчу, виконавчу, судову влади, був головнокомандувачем війська, здійснював дипломатичні зносини з іншими країнами, оголошував війну й укладав мир, призначав і звільняв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іністрацію.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Але в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міру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укладення польсько-литовських уній становище князя змінювалося. Його влада поступово почала обмежуватися Пани-Радою. До середини ХV ст. князь лише консультувався з нею, а наприкінці ХV ст. Пани-Рада поділила з князем право дипломатичних зносин, призначення урядовці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найвищі посади, законодавчі функції.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ісля Люблінської унії законодавчим органом стає сейм (поряд з князем і королем).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Певну роль у системі управління спочатку відігравали </w:t>
      </w:r>
      <w:r w:rsidRPr="00CD70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удільні князі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(Гедиміновичі, Рюриковичі, литовські, татарські). До ХV ст. удільний князь у своїй землі - найвищий суддя,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іністратор, збирач податків, командувач війська. Великий князь не мав права втручатися в його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іністративні дії. Удільному князю допомагала рада (служилі бояри, єпископ, урядовці).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Але з ХV ст. удільні князі стають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ідданими великого князя і втрачають свої державні права. У середині Х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ст. були ліквідовані Волинське і Київське князівства, а замість них створені воєводства.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Пани-Рада (Пані</w:t>
      </w:r>
      <w:proofErr w:type="gramStart"/>
      <w:r w:rsidRPr="00CD70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proofErr w:type="gramEnd"/>
      <w:r w:rsidRPr="00CD70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CD70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Рада</w:t>
      </w:r>
      <w:proofErr w:type="gramEnd"/>
      <w:r w:rsidRPr="00CD70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другий орган влади. До її складу спочатку входили найближчі родичі великого князя, бояри, урядовці, а з ХV ст.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лужбові князі, вищі і місцеві урядовці - маршалок, канцлер, підскарбій, гетьман, воєводи, каштеляни, старости, 4 католицькі єпископи.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Правове становище Пани-Ради визначалося привілеями 1492, 1506, 1529 рр. Найважливіші справи вирішувалися разом з великим князем. В разі, коли думки не збігалися, князь мав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ідкорятися рішенню Пани-Ради.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ішенням Ради було вирішальним при розгляді дій центральної і місцевої адміністрації. Вона також проводила судові засідання, оголошувала мобілізацію.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 через велику кількість членів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ади (до 80 осіб) її важко було скликати. Тому часто великий князь користувався послугами </w:t>
      </w:r>
      <w:r w:rsidRPr="00CD70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таємної ради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(8-10 чол.)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D70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Великий</w:t>
      </w:r>
      <w:proofErr w:type="gramEnd"/>
      <w:r w:rsidRPr="00CD70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вальний сойм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середини ХV ст. великий князь почав ширше залучати (за прикладом Польщі) дрібну шляхту до державних справ. У 1440 р. вона вперше взяла участь в обранні князя. Згодом це стало традицією.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Вперше сойм зібрався 1507 р., коли князь потребував грошей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війни проти Москви.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 магнатів і урядовців, брала участь і шляхта.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ІІ Литовським статутом (1566) сойм визнавався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державною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установою із законодавчими функціями.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1564 р. визначено порядок представництва шляхти на соймі. Шляхта мала обирати на повітових сеймиках по 2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посли в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 кожного повіту. Виборці вручали ї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писану інструкцію. В українських воєводствах нараховувалося 22 повітових сеймика.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Сойм у Литві - це орган станово-представницької монархії, але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ідміну від Західної Європи тут представлена була лише шляхта. Сойм розглядав питання обрання Великого князя, військової повинності, податків, воєнних союзів і державних уній, прийняття законів тощо. Він скликався з ініціативи князя і складався з двох палат - Пани-Ради і шляхетства. Засідання відбувалися окремо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палатах. Остаточне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ішення ухвалювалося на спільному засіданні обох палат. Постанови ухвалювалися одностайно.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ішення сойму набувало чинності з моменту його підписання Великим князем Литовським.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Центральна </w:t>
      </w:r>
      <w:proofErr w:type="gramStart"/>
      <w:r w:rsidRPr="00CD70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</w:t>
      </w:r>
      <w:proofErr w:type="gramEnd"/>
      <w:r w:rsidRPr="00CD70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іністрація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Це урядовці, призначені великим князем і погоджені з Пани-Радою, а потім і Вальним соймом.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Маршалок земський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перша особа, яка за відсутності князя головувала на зборах Пани -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Ради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Заступник його - маршалок двірський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ідав князівськими дворянами.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Канцлер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відав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державною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канцелярією. Заступник його -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ідканцлер.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D70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</w:t>
      </w:r>
      <w:proofErr w:type="gramEnd"/>
      <w:r w:rsidRPr="00CD70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ідскарбій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D70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земський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відав фінансовими справами. Заступник його -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ідскарбій двірський.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Гетьман земський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великий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очолював військо, опікувався ним. Заступник його - гетьман двірський (польний).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Місцева </w:t>
      </w:r>
      <w:proofErr w:type="gramStart"/>
      <w:r w:rsidRPr="00CD70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</w:t>
      </w:r>
      <w:proofErr w:type="gramEnd"/>
      <w:r w:rsidRPr="00CD70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іністрація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З'явилася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ісля ліквідації інституту удільних князів, яких спочатку замінили волосні намісники - </w:t>
      </w:r>
      <w:r w:rsidRPr="00CD70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старости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 великих містах правили </w:t>
      </w:r>
      <w:r w:rsidRPr="00CD70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воєводи 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цивільні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іністративні посадові особи. У менших містах були </w:t>
      </w:r>
      <w:r w:rsidRPr="00CD70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державці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Воєводства поділялися на повіти або староства.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початку ХVІ ст. була здійснена реформа. В українських землях запроваджено такий самий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іністративно-територіальний поділ, як і в Литві: воєводство - повіт - волость.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цього часу головна фігура місцевого управління - </w:t>
      </w:r>
      <w:r w:rsidRPr="00CD70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воєвода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Він очолював місцеву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іністрацію; стежив за стягненням податків; відав організацією війська; вирішував судові справи.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Повіт очолював </w:t>
      </w:r>
      <w:r w:rsidRPr="00CD70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староста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він мав широкі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іністративні і судові повноваження. Центральний повіт воєводства очолював </w:t>
      </w:r>
      <w:r w:rsidRPr="00CD70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каштелян 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(помічник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воєводи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ХІV-ХV ст. окремі міста отримали Магдебурзьке право. Це було відображено у ІІ Литовському статуті (1588), за яким міста поділялися на привілейовані (ті, що користувалися Магдебурзьким правом) і непривілейовані (решта).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великокнязівських містах органи управління формував князь. Представниками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іністрації були воєводи, старости, війти. Вони самі призначали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ібних службовців міста.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Приватновласницькими і церковними містами управляли їх власники - магнати або церква. В окремих містах дозволялося обирати ратуші - органи самоврядування.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Мешканці мі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Магдебурзьким правом обирали магістрат - адміністративний і судовий орган самоврядування. Він складався з двох колегій: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D70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Міської ради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до складу якої обиралися радці (6-24 особи).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Очолював Раду бурмістр.</w:t>
      </w:r>
    </w:p>
    <w:p w:rsidR="00CD703B" w:rsidRPr="00CD703B" w:rsidRDefault="00CD703B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Лави</w:t>
      </w:r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судового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органу на чолі з війтом. Лава розглядала кримінальні </w:t>
      </w:r>
      <w:proofErr w:type="gramStart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справи м</w:t>
      </w:r>
      <w:proofErr w:type="gramEnd"/>
      <w:r w:rsidRPr="00CD7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іщан, претензії міщан до феодалів.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Ключові терміни</w:t>
      </w:r>
    </w:p>
    <w:p w:rsidR="006B2292" w:rsidRPr="006B2292" w:rsidRDefault="00350B0D" w:rsidP="006B2292">
      <w:pPr>
        <w:shd w:val="clear" w:color="auto" w:fill="FFFFFF"/>
        <w:spacing w:after="12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0" w:anchor="sl1" w:history="1">
        <w:r w:rsidR="006B2292" w:rsidRPr="006B2292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судовий процес</w:t>
        </w:r>
      </w:hyperlink>
      <w:r w:rsidR="006B2292"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11" w:anchor="sl2" w:history="1">
        <w:r w:rsidR="006B2292" w:rsidRPr="006B2292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загальноземські статути (привілеї)</w:t>
        </w:r>
      </w:hyperlink>
      <w:r w:rsidR="006B2292"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12" w:anchor="sl3" w:history="1">
        <w:r w:rsidR="006B2292" w:rsidRPr="006B2292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обласні привілеї (уставні грамоти)</w:t>
        </w:r>
      </w:hyperlink>
      <w:r w:rsidR="006B2292"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13" w:anchor="sl4" w:history="1">
        <w:r w:rsidR="006B2292" w:rsidRPr="006B2292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міські привілеї</w:t>
        </w:r>
      </w:hyperlink>
      <w:r w:rsidR="006B2292"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14" w:anchor="sl5" w:history="1">
        <w:r w:rsidR="006B2292" w:rsidRPr="006B2292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литовська метрика</w:t>
        </w:r>
      </w:hyperlink>
      <w:r w:rsidR="006B2292"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15" w:anchor="sl6" w:history="1">
        <w:r w:rsidR="006B2292" w:rsidRPr="006B2292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конституційне право</w:t>
        </w:r>
      </w:hyperlink>
      <w:r w:rsidR="006B2292"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16" w:anchor="sl7" w:history="1">
        <w:r w:rsidR="006B2292" w:rsidRPr="006B2292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циві</w:t>
        </w:r>
        <w:proofErr w:type="gramStart"/>
        <w:r w:rsidR="006B2292" w:rsidRPr="006B2292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льне</w:t>
        </w:r>
        <w:proofErr w:type="gramEnd"/>
        <w:r w:rsidR="006B2292" w:rsidRPr="006B2292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 xml:space="preserve"> право</w:t>
        </w:r>
      </w:hyperlink>
      <w:r w:rsidR="006B2292"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17" w:anchor="sl8" w:history="1">
        <w:r w:rsidR="006B2292" w:rsidRPr="006B2292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зобов'язане право</w:t>
        </w:r>
      </w:hyperlink>
      <w:r w:rsidR="006B2292"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18" w:anchor="sl9" w:history="1">
        <w:r w:rsidR="006B2292" w:rsidRPr="006B2292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спадкове право</w:t>
        </w:r>
      </w:hyperlink>
      <w:r w:rsidR="006B2292"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19" w:anchor="sl10" w:history="1">
        <w:r w:rsidR="006B2292" w:rsidRPr="006B2292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шлюбно-сімейне право</w:t>
        </w:r>
      </w:hyperlink>
      <w:r w:rsidR="006B2292"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20" w:anchor="sl11" w:history="1">
        <w:r w:rsidR="006B2292" w:rsidRPr="006B2292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кримінальне право</w:t>
        </w:r>
      </w:hyperlink>
    </w:p>
    <w:p w:rsidR="006B2292" w:rsidRPr="006B2292" w:rsidRDefault="006B2292" w:rsidP="006B2292">
      <w:pPr>
        <w:shd w:val="clear" w:color="auto" w:fill="FFFFFF"/>
        <w:spacing w:after="0" w:line="240" w:lineRule="auto"/>
        <w:ind w:left="-567" w:right="-426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1 Судова система і судовий процес.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ранньофеодальний період в умовах широкої автономії українських земель (друга половина ХІV - перша половина ХV ст.)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складі Великого князівства Литовського функціонували суди, започатковані ще в Київській Русі:</w:t>
      </w:r>
    </w:p>
    <w:p w:rsidR="006B2292" w:rsidRPr="006B2292" w:rsidRDefault="006B2292" w:rsidP="006B22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Великокнязівський суд.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часом виникають його різновиди - суд Пани-Ради, суд маршалка.</w:t>
      </w:r>
    </w:p>
    <w:p w:rsidR="006B2292" w:rsidRPr="006B2292" w:rsidRDefault="006B2292" w:rsidP="006B22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Регіональні суди (суди намісників -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євод і старост).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ліквідацією автономії українських земель, посиленням централістичних тенденцій та перетворенням Великого князівства Литовського у станово-представницьку монархію виникають нові суди:</w:t>
      </w:r>
    </w:p>
    <w:p w:rsidR="006B2292" w:rsidRPr="006B2292" w:rsidRDefault="006B2292" w:rsidP="006B22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Доменіальні (вотчинні).</w:t>
      </w:r>
    </w:p>
    <w:p w:rsidR="006B2292" w:rsidRPr="006B2292" w:rsidRDefault="006B2292" w:rsidP="006B22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Третейські.</w:t>
      </w:r>
    </w:p>
    <w:p w:rsidR="006B2292" w:rsidRPr="006B2292" w:rsidRDefault="006B2292" w:rsidP="006B22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Суди для інородців.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Подальшого розвитку набувають суди у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істах з магдебурзьким правом, церковні і копні суди.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 середини ХVІ ст. суд не був відокремлений від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іністрації, розглядався владою скоріше як джерело прибутку і не відігравав значної ролі у суспільному і державному житті.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Професійних судді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той час небуло. Суди - це періодично діючі установи, які розглядали справи лише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разі потреби. Спочатку вони,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 церковних судів і судів у містах з магдебурзькии правом, керувалися переважно звичаєвим правом, а згодом - писаним загальнодержавним правом.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ідсудність державним судам визначалася за територіальним принципом, недержавним - за становим або за станово-териториальним. Державні суди були апеляційною інстанцією для недержавних.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B22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Судова реформа 1564-1566 рр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сприяла більш чіткій диференціації судів та формуванню судової влади в державі. Згідно з нею створювалися такі суди:</w:t>
      </w:r>
      <w:proofErr w:type="gramEnd"/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І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B22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Державні суди.</w:t>
      </w:r>
    </w:p>
    <w:p w:rsidR="006B2292" w:rsidRPr="006B2292" w:rsidRDefault="006B2292" w:rsidP="006B22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Суд великого князя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Вища апеляційна інстанція.</w:t>
      </w:r>
    </w:p>
    <w:p w:rsidR="006B2292" w:rsidRPr="006B2292" w:rsidRDefault="006B2292" w:rsidP="006B22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Сеймовий суд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Розглядав справи щодо магнатів і великого панства.</w:t>
      </w:r>
      <w:proofErr w:type="gramEnd"/>
    </w:p>
    <w:p w:rsidR="006B2292" w:rsidRPr="006B2292" w:rsidRDefault="006B2292" w:rsidP="006B22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Земські суди.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Вони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створювалися у всіх повітах. Складалися із судді,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ідсудка і писаря. Усіх ї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обирала шляхта на своїх повітових сеймиках, а затверджував (довічно) великий князь (одного з 4 кандидатів на кожну посаду). Засідання проводилися тричі на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ік по кілька тижнів. Ці суди розглядали переважно цивільні справи шляхтичів. Апеляційною інстанцією для них був суд великого князя.</w:t>
      </w:r>
    </w:p>
    <w:p w:rsidR="006B2292" w:rsidRPr="006B2292" w:rsidRDefault="006B2292" w:rsidP="006B22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Гродські (замкові) суди.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Судочинство в них здійснював намісник, староста,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євода. Розглядалися переважно кримінальні справи шляхти, міщан і селян. Апеляційною інстанцією для них виступав суд великого князя.</w:t>
      </w:r>
    </w:p>
    <w:p w:rsidR="006B2292" w:rsidRPr="006B2292" w:rsidRDefault="006B2292" w:rsidP="006B22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</w:t>
      </w:r>
      <w:proofErr w:type="gramEnd"/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ідкоморські суди.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таких судах розглядали справи про земельні суперечки.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ідкоморський суд був одноосібним. Він складався з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ідкоморного судді, який призначався великим князем для кожного повіту з осіб, рекомендованих шляхтою, його заступника - коморника (1 або 2), який призначався підкоморником із місцевої шляхти. Свідками у підкомрському суді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могли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бути лише християни.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ІІ Недержавні суди.</w:t>
      </w:r>
    </w:p>
    <w:p w:rsidR="006B2292" w:rsidRPr="006B2292" w:rsidRDefault="006B2292" w:rsidP="006B22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Копні суди.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Найдавніший вид суду. Копні суди розглядали карні і цивільні справи, що були скоєні на території громади (копи). Вищою інстанцією для них був гродський суд.</w:t>
      </w:r>
    </w:p>
    <w:p w:rsidR="006B2292" w:rsidRPr="006B2292" w:rsidRDefault="006B2292" w:rsidP="006B22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Доменіальні суди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 поступовим зростанням прав панів, а згодом і шляхти та позбавленням прав селян створюються доменіальні суди. Їх діяльність регулювалася кількома привілеями (короля Ягайла 1387 р., Городельським 1413 р. та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ільським 1457 р.). Усім землевласникам надавалося право розглядати справи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іпосних селян та інших залежних верств. Але це стосувалося переважно права стягувати судову платню. Право повного суду пані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над приватновласницькими селянами скріплювалося Судебником Казимира 1468 р.</w:t>
      </w:r>
    </w:p>
    <w:p w:rsidR="006B2292" w:rsidRPr="006B2292" w:rsidRDefault="006B2292" w:rsidP="006B22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Церковні суди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Вони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подіялися на церковні доменіальні та духовні суди. Перші розглядали справи про порушення догматів християнської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віри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церковних обрядів, про розлучення, майнові спори подружжя, спадщину, другий діяв подібно до суду феодала (пана), яким була церква, щодо залежних від церкви людей.</w:t>
      </w:r>
    </w:p>
    <w:p w:rsidR="006B2292" w:rsidRPr="006B2292" w:rsidRDefault="006B2292" w:rsidP="006B22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Третейські 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полюбовні суди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Судочинство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таких судах було швидшим і дешевшим за державне. Широко застосувалися панівною верхівкою. Спочатку третейські судді призначалися великим князем, поті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обиралися самими сторонами. До них могли звертатися усі верстви населення,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ім приватновласницьких селян. Суддею міг бути обраний пан, шляхтич, духовна особа. У звязку з появою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таких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судів посилився інтерес до вивчення права.</w:t>
      </w:r>
    </w:p>
    <w:p w:rsidR="006B2292" w:rsidRPr="006B2292" w:rsidRDefault="006B2292" w:rsidP="006B22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Суди в українських містах з магдебурзьким правом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істах, що користувалися магдебурзьким правом, діяли магістратські і ратушні судді. Безпосередньо судові функції виконували війт і лава. В окремих містах право суду зберегли збори міських громад, подібні до копних суді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селі.</w:t>
      </w:r>
    </w:p>
    <w:p w:rsidR="006B2292" w:rsidRPr="006B2292" w:rsidRDefault="006B2292" w:rsidP="006B22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Суди для інородців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Суди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вірмен, євреїв, татар. Вони виникли переважно у ХV ст. Організовувалися на національних правових засадах, але на практиці часто зверталися до регіональних державних суді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B2292" w:rsidRPr="006B2292" w:rsidRDefault="006B2292" w:rsidP="006B22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Козацькі суди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 запорозьких козакі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судові функції виконували представники старшини. Вищою судовою інстанцією на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ічі був кошовий отаман, а основні функції щодо здійснення правосуддя покладалися на військового суддю.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" w:name="sl1"/>
      <w:r w:rsidRPr="006B22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Судовий процес.</w:t>
      </w:r>
      <w:bookmarkEnd w:id="4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Він спочатку мав змагальний характер. Обидві сторони виступали активними учасниками процесу. Згодом процес набуває позовного (обвинувачувального), слідчого (інквізиційного) характеру,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тому числі із застосуванням тортур. Суд тепер сам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іг розпочати справу, не чекаючи скарги потерпілого.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Багато елементів судочинства походило зі звичаєвого права, зокрема, поволання (виклик до суду), послух (слухання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ідків), звід, гоніння сліду тощо.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Процес розпочинався за заявою потерпілого. Допускалося представництво. Представники сторін називалися прокураторами або речниками. Докази в суді поділялися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B2292" w:rsidRPr="006B2292" w:rsidRDefault="006B2292" w:rsidP="006B22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Правові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саме: власне зізнання, показання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ідків, письмові документи, речові докази.</w:t>
      </w:r>
    </w:p>
    <w:p w:rsidR="006B2292" w:rsidRPr="006B2292" w:rsidRDefault="006B2292" w:rsidP="006B22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Позаправові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тобто присяга, викидщина (жереб). При їхньому пред'явленні суду вимагалося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ідкріплення правовими доказами.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ісля судової реформи 1564-1566 рр. суд надає перевагу правовим доказам.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 винесення судового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ішення учасники процесу могли дійти компромісу і вдатися до так званого єднання. Литовський Статут 1566 р. заборонив єднання по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тяжких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кримінальних злочинах. По цивільних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справах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воно практикувалося. Якщо обидві сторони не дійшли згоди, тоді суд виносив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ішення.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Великому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князівстві Литовському існували такі судові чиновники:</w:t>
      </w:r>
    </w:p>
    <w:p w:rsidR="006B2292" w:rsidRPr="006B2292" w:rsidRDefault="006B2292" w:rsidP="006B22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Діцькі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(судові виконавці). Доставляли звинувачуваного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суду, стягували майнове (податок або мито). За виконання цих функцій одержували платню, так званий діцькі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B2292" w:rsidRPr="006B2292" w:rsidRDefault="006B2292" w:rsidP="006B22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Вижі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слідчі, які оглядали місце скоєння злочину, опитували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ідків. Іноді їх направляли у копні та доменіальні суди для контролю. За виконання цих функцій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вони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одержували платню, так зване вижове.</w:t>
      </w:r>
    </w:p>
    <w:p w:rsidR="006B2292" w:rsidRPr="006B2292" w:rsidRDefault="006B2292" w:rsidP="006B22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Ув'язчі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вводили до маєтку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нових господарів.</w:t>
      </w:r>
    </w:p>
    <w:p w:rsidR="006B2292" w:rsidRPr="006B2292" w:rsidRDefault="006B2292" w:rsidP="006B22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Дільчі</w:t>
      </w:r>
      <w:r w:rsidRPr="006B22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розподіляли майно.</w:t>
      </w:r>
    </w:p>
    <w:p w:rsidR="006B2292" w:rsidRPr="006B2292" w:rsidRDefault="006B2292" w:rsidP="006B22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Возні. 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ісля судової реформи 1564-1566 рр. запроваджується єдина посада судового виконавця - возного.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 </w:t>
      </w:r>
    </w:p>
    <w:p w:rsidR="006B2292" w:rsidRPr="006B2292" w:rsidRDefault="006B2292" w:rsidP="006B2292">
      <w:pPr>
        <w:shd w:val="clear" w:color="auto" w:fill="FFFFFF"/>
        <w:spacing w:after="0" w:line="240" w:lineRule="auto"/>
        <w:ind w:left="-567" w:right="-426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2 Основні риси права.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Упродовж XIV-XVI ст. на українських землях Великого князівства Литовського тривалий час продовжували розвиватися правні традиції попередніх періодів, зберігалися </w:t>
      </w:r>
      <w:r w:rsidRPr="006B22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джерела права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Київської Русі. По-перше, це </w:t>
      </w:r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руське звичаєве право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яким користувалися копні суди. Литовський статут 1529 р. зобов'язував усі суди поряд з писаним правом користуватися і давніми звичаями. Чинність звичаєвого права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ідтверджував і Литовський статут 1588 р. Його використовували і при відсутності законодавчої норми. По-друге, це </w:t>
      </w:r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Руська правда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Її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 складали основу інших джерел права. Вона відчутно вплинула на розвиток литовського і польського законодавства. По-трет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є,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зберігали свою чинність церковні статути, номоканон.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Проте з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кінця ХІV ст. починає розвиватися законодавча діяльність литовських князів. З'являються нові джерела права:</w:t>
      </w:r>
    </w:p>
    <w:p w:rsidR="006B2292" w:rsidRPr="006B2292" w:rsidRDefault="006B2292" w:rsidP="006B229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Міжнародні договори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 Пруським і Лівонським орденами, Московським князівством, </w:t>
      </w:r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унії 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(Кревська, Городільська, Люблінська та інші) з Польським королівством. Вони містили норми конституційного та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іністративного права.</w:t>
      </w:r>
    </w:p>
    <w:p w:rsidR="006B2292" w:rsidRPr="006B2292" w:rsidRDefault="006B2292" w:rsidP="006B229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Привілеї і грамоти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" w:name="sl2"/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Загальноземські статути (привілеї)</w:t>
      </w:r>
      <w:bookmarkEnd w:id="5"/>
      <w:r w:rsidRPr="006B229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 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Ними Великий князь Литовський надавав певні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ільги окремим особам, суспільним станам, містам, монастирям, встановлював норми права для всієї держави. Це - Шляхетський привілей Ягайла 1387 р., яким вводилися на території Литви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іністративні установи, подібні до Польщі; Гродненський привілей 1432 р., змістом якого було повернення політичних і майнових прав українській і білоруській аристократії в разі переходу її у католицизм; Віленський привілей 1457 р., яким урівнювалися права литовської, в тому числі української шляхти,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правах з польською. Між іншим, останнім привілеєм, фактично, був започаткований процес закріпачення селян.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" w:name="sl3"/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Обласні привілеї (уставні грамоти)</w:t>
      </w:r>
      <w:bookmarkEnd w:id="6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тобто привілеї окремим землям, воєводствам і повітам, наприклад, привілеї Київський землі 1494, 1507, 1529 рр.; Волинські землі 1501, 1509 рр. В уставних грамотах наявні необхідні стадії для нормотворчості у феодальній державі: спосіб (давання), оформлення (лист), примус.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" w:name="sl4"/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Міські привілеї</w:t>
      </w:r>
      <w:bookmarkEnd w:id="7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Насамперед, це грамоти окремим містам про надання Магдебурзького права - грамоти Луцьку 1432 р., Житомиру 1444 р. тощо.</w:t>
      </w:r>
    </w:p>
    <w:p w:rsidR="006B2292" w:rsidRPr="006B2292" w:rsidRDefault="006B2292" w:rsidP="006B229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Збірники законі</w:t>
      </w:r>
      <w:proofErr w:type="gramStart"/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другій половині ХV ст. відбуваються кодифікації чинних норм, з'являються збірники законі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які іноді називають кодексами. По-перше, це </w:t>
      </w:r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Судебник Казимира ІV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1468 р., який був складений урядовцями і прийнятий на провінційному соймі у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ільно. Містив 25 статей, що стосувалися порушень меж земельних володінь, нападі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чужі маєтки, крадіжок майна тощо. Об'єктом злочину були не тільки вільні люди, але і холопи. За окремі злочини передбачалася смертна кара.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По-друге, це </w:t>
      </w:r>
      <w:bookmarkStart w:id="8" w:name="sl5"/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Литовська метрик</w:t>
      </w:r>
      <w:proofErr w:type="gramStart"/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</w:t>
      </w:r>
      <w:bookmarkEnd w:id="8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збірник документів і матеріалів князівської канцелярії, який містив і низку законодавчих актів, судових вироків, декретів, що вносилися сюди за рашенням князя і Пани-Ради.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По-трет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є,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 </w:t>
      </w:r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Статути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(Литовські статути або статути Великого князівства Литовського). Існувало три кодифікації (редакції) - 1529 р. („старий" Статут), 1566 р. („Волинський"), 1588 р. („новий"). Усі три Статути містили норми руського, римського, німецького, польського, литовського звичаєвого права.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 Статут не був надрукований, а переписувався, складався з 13 розділів і 264 артикулі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(статей). Закріплював основи суспільного і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державного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ладу, правове становище населення, порядок утворення органів влади, судів. Шляхта їм не була задоволена.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ІІ Статут мав 14 розділів і 367 артикулів і теж не був надрукований, а переписувався. У більшій мі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 захищав інтереси шляхти. Широко застосовувався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Волин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і, Київщині, Брацлавщині. Регулював норми державного, кримінального, цивільного, процесуального права, судоустрою.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ІІІ Статут мав 14 розділів і 488 артикулів. Містив норми усіх галузей права. Юридично запровадив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іпосне право. Усі три Статути були написані руською мовою (білорусько-український варіант).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Правова неврегульованість окремих сторін суспільного життя вимагала від законодавця прийняття термінових заходів - видання „уставі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та „ухвал". Так, з метою впорядкування фінансових й аграрних питань Сигізмунд-Август ухвалив </w:t>
      </w:r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Уставу на волоки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B2292" w:rsidRPr="006B2292" w:rsidRDefault="00350B0D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1" w:history="1">
        <w:r w:rsidR="006B2292" w:rsidRPr="006B22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Див</w:t>
        </w:r>
        <w:proofErr w:type="gramStart"/>
        <w:r w:rsidR="006B2292" w:rsidRPr="006B22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gramEnd"/>
        <w:r w:rsidR="006B2292" w:rsidRPr="006B22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gramStart"/>
        <w:r w:rsidR="006B2292" w:rsidRPr="006B22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</w:t>
        </w:r>
        <w:proofErr w:type="gramEnd"/>
        <w:r w:rsidR="006B2292" w:rsidRPr="006B22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екст першоджерела</w:t>
        </w:r>
      </w:hyperlink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6B2292" w:rsidRPr="006B2292" w:rsidRDefault="006B2292" w:rsidP="006B2292">
      <w:pPr>
        <w:shd w:val="clear" w:color="auto" w:fill="FFFFFF"/>
        <w:spacing w:after="0" w:line="240" w:lineRule="auto"/>
        <w:ind w:left="-567" w:right="-426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3 Галузі права.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9" w:name="sl6"/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Конституційне право</w:t>
      </w:r>
      <w:bookmarkEnd w:id="9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Усі три Литовських статути містили норми конституційного права. Ними визначалися права і обов'язки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ідданих князя; компетенція органів влади (князя, великого і місцевого соймів); відповідальність громадян перед законом; відмова від заочного покарання; відношення громадян до уряду.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 статутах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ідкреслювалися ідеї правової держави, тобто закону повинні підкорятись усі без винятку піддані князя.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0" w:name="sl7"/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Циві</w:t>
      </w:r>
      <w:proofErr w:type="gramStart"/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льне</w:t>
      </w:r>
      <w:proofErr w:type="gramEnd"/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право</w:t>
      </w:r>
      <w:bookmarkEnd w:id="10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статутах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детально регламентувалися інститут власності; договірне право; заставне право; право користування чужими речами. Власниками землі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могли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бути лише вільні люди зі шляхетського стану. Землі шляхти поділялися на родові, що переходили у спадок за законом, вислуги - землі, власник яких міг лише розпоряджатися ними, а також придбані шляхом купівл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і-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продажу. Земельна власність усіх видів була недоторканою. Право володіння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ідтверджувалося грамотою або давністю часу. За Литовськими статутами землевласник зобов'язувався відбувати військову повинність особисто, а в залежності від кількості землі ще і виставляти певну кількість озброєних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ідданих.</w:t>
      </w:r>
    </w:p>
    <w:p w:rsidR="006B2292" w:rsidRPr="006B2292" w:rsidRDefault="006B2292" w:rsidP="006B2292">
      <w:pPr>
        <w:shd w:val="clear" w:color="auto" w:fill="FFFFFF"/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1" w:name="sl8"/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Зобов'язане право</w:t>
      </w:r>
      <w:bookmarkEnd w:id="11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Договори укладалися в письмовій формі при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ідках, іноді реєструвалися у суді. Регламентувалися права і обов'язки учасників договору купівлі-продажу, обміну, застави, оренди, найму, дарування майна. Набуло розвитку заставне право. Застава існувала для забезпечення виконання договору.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Заставлений має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ток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переходив у володіння і користування кредитора до повного його викупу боржником. Кредитор не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іг його продати. У заставу подавалися земл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і-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вислуги, посади. Гарантіями виконання зобов'язань були присяга, застава і порука.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2" w:name="sl9"/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Спадкове право</w:t>
      </w:r>
      <w:bookmarkEnd w:id="12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Розрізнялося спадкування за законом і за заповітом. За законом спочатку спадкували діти, поті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онуки і правнуки. Якщо таких не було, тоді спадок переходив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братів і сестер. Міщани мі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де не діяло Магдебурзьке право, могли передавати за заповітом лише 1/3 майна, а 2/3 майна переходило дітям, а при їх відсутності - у власність власника міста (князя, церкви, магната). Доньки успадковували майно нарівні з синами. Вдова отримувала довічне держання.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ісля її смерті майно переходило до дітей. Часто у вдови концентрувалася переважна більшість або половина всіх маєтностей чоловіка. На порубіжних з татарами, небезпечних територіях середня тривалість шлюбу складала 10 рокі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Через смерть чоловіка часто до вдови переходила й опіка над дітьми і маєтністю небіжчика. Високий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івень смертності чоловіків і ранній шлюбний вік жінок призводили до повторних шлюбів, що ставало можливим завдяки поповненню шлюбного ринку вихідцями з інших земель. Для прибулих вдови служили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 не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єдиною можливістю увійти в коло осілих („добрих") людей. Тому зростала у шлюбі роль жінки, розширювалася межа свободи й ініціативи у виборі партнера та її процесуальна дієздатність.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3" w:name="sl10"/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Шлюбно-сімейне право</w:t>
      </w:r>
      <w:bookmarkEnd w:id="13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Багато норм сімейного права Київської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 перенесено у Статути.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ідвищувався вік вступу до шлюбу: для жінок - 15 років; для чоловіків - 18 років. Але за ІІІ Статутом вік жінок було знижено до 13 років. Шлюбу передувала змова (угода) батьків обох сторін. Передбачалися згода вступаючих у шлюб; внесення дружиною приданого і запис вена на користь дружини з боку чоловіка. Сума вена складала подвійну вартість приданого, але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ільше 1/3 вартості всього майна чоловіка. Дружина відповідала за борги чоловіка. Якщо дружина визнавалася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винною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розірванні шлюбу, вона позбавлялася приданого і вена. Якщо шлюб визнавався не дійсним, то придане залишалося у дружини, а майно поверталося чоловіку. Батьки мали право карати дітей за непослух, віддаватих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відробітку боргу. Найбільш поширеними поняттями у сімейно-шлюбних відносинах були:</w:t>
      </w:r>
    </w:p>
    <w:p w:rsidR="006B2292" w:rsidRPr="006B2292" w:rsidRDefault="00350B0D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2" w:history="1">
        <w:r w:rsidR="006B2292" w:rsidRPr="006B22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Див</w:t>
        </w:r>
        <w:proofErr w:type="gramStart"/>
        <w:r w:rsidR="006B2292" w:rsidRPr="006B22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gramEnd"/>
        <w:r w:rsidR="006B2292" w:rsidRPr="006B22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gramStart"/>
        <w:r w:rsidR="006B2292" w:rsidRPr="006B22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</w:t>
        </w:r>
        <w:proofErr w:type="gramEnd"/>
        <w:r w:rsidR="006B2292" w:rsidRPr="006B22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екст першоджерела</w:t>
        </w:r>
      </w:hyperlink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Виправа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спадкова частина доньки у маєтності батька. 1/4 вотчини (поділялася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між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доньками), решту спадкували сини, (за їх відсутності спадкували доньки). Виправа передавалася дівчині не з повноліття (15 років), а з моменту виходу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заміж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Посаг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придане. Визначав батько. Його розмі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іноді співпадавав з розміром виправи.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Вено (віно)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майно, що виділялося дружині (нареченій) чоловіком (нареченим). Контроль за недоторканістю вена покладався на дружину та її родичі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Материзна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спадок дітей по матері (переважно у вигляді нерухомості). Ділилася порівну між усіма дітьми, незалежно від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і, так само, як і вено матері, якщо не було особливих розпоряджень матері.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Шлюб - догові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між батьками. Вибі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дівчиною шлюбного партнера був мінімальним, хоча законодавством закріплялася обов'язкова згода дівчини на шлюб.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4" w:name="sl11"/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Кримінальне право</w:t>
      </w:r>
      <w:bookmarkEnd w:id="14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Мало становий характер і захищало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першу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чергу майно, життя, честь феодала. Злочини,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вчинен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 феодалом, каралися м'якше. Суб'єкт злочину - вільна і напі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ільна людина, яка досягла 14 років (за ІІ Статутом) і 16 років (за ІІІ Статутом). Існувала різна відповідальність підданих князя та іноземців.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Розвивалося поняття суб'єктивної й об'єктивної сторони складу злочину, зокрема виділялися окремі ознаки умислу; відокремлювався прямий і непрямий умисел; розрізнялися мета і мотив злочину, злочинна самовпевненість чи недбалість.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Розвивався інститут співучасті у вчиненні злочину. Розрізняли поняття пособництва,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ідмовництва, причетності до злочину, стадій вчинення злочину. Формувався інститут множинності злочинів (рецидив, сукупність злочинів).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Існували такі види злочинів:</w:t>
      </w:r>
    </w:p>
    <w:p w:rsidR="006B2292" w:rsidRPr="006B2292" w:rsidRDefault="006B2292" w:rsidP="006B229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Злочини проти </w:t>
      </w:r>
      <w:proofErr w:type="gramStart"/>
      <w:r w:rsidRPr="006B229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рел</w:t>
      </w:r>
      <w:proofErr w:type="gramEnd"/>
      <w:r w:rsidRPr="006B229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ігії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богохульство, чаклунство, підбурювання до переходу в іншу віру тощо.</w:t>
      </w:r>
    </w:p>
    <w:p w:rsidR="006B2292" w:rsidRPr="006B2292" w:rsidRDefault="006B2292" w:rsidP="006B229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Політичні злочини</w:t>
      </w:r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(злочини проти держави) - бунт, втеча до ворога, зносини з ворогом.</w:t>
      </w:r>
    </w:p>
    <w:p w:rsidR="006B2292" w:rsidRPr="006B2292" w:rsidRDefault="006B2292" w:rsidP="006B229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Державні злочини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хабарництво, фальшування монет,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ідробка документів.</w:t>
      </w:r>
    </w:p>
    <w:p w:rsidR="006B2292" w:rsidRPr="006B2292" w:rsidRDefault="006B2292" w:rsidP="006B229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Злочини проти особи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вбивство, образа, тілесні пошкодження</w:t>
      </w:r>
    </w:p>
    <w:p w:rsidR="006B2292" w:rsidRPr="006B2292" w:rsidRDefault="006B2292" w:rsidP="006B229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Майнові злочини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крадіжка, пограбування,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ідпал, незаконне користування чужими речами, пошкодження чужого майна, псування межі.</w:t>
      </w:r>
    </w:p>
    <w:p w:rsidR="006B2292" w:rsidRPr="006B2292" w:rsidRDefault="006B2292" w:rsidP="006B229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Злочини проти сім'ї і моралі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двоєжонство, зґвалтування, викрадення чужої дитини, образа дітьми батькі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З'являються нові види злочинів.</w:t>
      </w:r>
    </w:p>
    <w:p w:rsidR="006B2292" w:rsidRPr="006B2292" w:rsidRDefault="006B2292" w:rsidP="006B229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Військові</w:t>
      </w:r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порушення присяги, втеча з поля бою, неприбуття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військового табору.</w:t>
      </w:r>
    </w:p>
    <w:p w:rsidR="006B2292" w:rsidRPr="006B2292" w:rsidRDefault="006B2292" w:rsidP="006B229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Злочини проти правосуддя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фальшива присяга.</w:t>
      </w:r>
    </w:p>
    <w:p w:rsidR="006B2292" w:rsidRPr="006B2292" w:rsidRDefault="006B2292" w:rsidP="006B229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Злочини проти прав шляхти</w:t>
      </w:r>
      <w:r w:rsidRPr="006B22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6B2292" w:rsidRPr="006B2292" w:rsidRDefault="006B2292" w:rsidP="006B229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Службові злочини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Метою </w:t>
      </w:r>
      <w:r w:rsidRPr="006B22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покарання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було відшкодування збитків потерпілому, а з часом - залякування, ізоляція злочинця, використання злочинці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як робочої сили.</w:t>
      </w:r>
    </w:p>
    <w:p w:rsidR="006B2292" w:rsidRPr="006B2292" w:rsidRDefault="006B2292" w:rsidP="006B2292">
      <w:p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Види покарань:</w:t>
      </w:r>
    </w:p>
    <w:p w:rsidR="006B2292" w:rsidRPr="006B2292" w:rsidRDefault="006B2292" w:rsidP="006B229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Смертна кара.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За І Статутом передбачалася у 20 випадках; за ІІ Статутом - у 100 випадках. Застосовувалася у вигляді спалення, повішання, відрубання голови, посадження на палю, закопування живим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землю, четвертування тощо.</w:t>
      </w:r>
    </w:p>
    <w:p w:rsidR="006B2292" w:rsidRPr="006B2292" w:rsidRDefault="006B2292" w:rsidP="006B229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Тілесні кари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биття палицями, кнутом, відрубання ніг, рук, виколювання очей, ві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ізання вуха. Застосовувася переважно до селян.</w:t>
      </w:r>
    </w:p>
    <w:p w:rsidR="006B2292" w:rsidRPr="006B2292" w:rsidRDefault="006B2292" w:rsidP="006B229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Ув'язнення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наземне і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ідземне, терміном від 6 тижнів до 1 року. За власне утримання злочинець сплачував мито.</w:t>
      </w:r>
    </w:p>
    <w:p w:rsidR="006B2292" w:rsidRPr="006B2292" w:rsidRDefault="006B2292" w:rsidP="006B229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Майнові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штрафи князеві і потерпілому. Наприклад, "шкода" - винагорода потерпілому за нанесені збитки, "наклад" - відшкодування судових витрат, "головщина" - відшкодування родичам загиблого, „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нав'язка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- компенсація потерпілому за образу честі, „гвалт" - штраф потерпілому за насильницькі дії проти нього.</w:t>
      </w:r>
    </w:p>
    <w:p w:rsidR="006B2292" w:rsidRPr="006B2292" w:rsidRDefault="006B2292" w:rsidP="006B229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Спеціальні покарання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виволання (вигнання з країни), позбавлення посад, честі (тільки для шляхти), прав чи приві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леїв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(тимчасово чи назавжди). Позбавлений честі втрачав шляхетські права і привілеї. У законодавстві зазначалося, що кожен </w:t>
      </w:r>
      <w:proofErr w:type="gramStart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повинен</w:t>
      </w:r>
      <w:proofErr w:type="gramEnd"/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нести покарання за себе, а не за родичів.</w:t>
      </w:r>
    </w:p>
    <w:p w:rsidR="006B2292" w:rsidRPr="006B2292" w:rsidRDefault="006B2292" w:rsidP="006B229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29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Умовне засудження</w:t>
      </w:r>
      <w:r w:rsidRPr="006B2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Душевнохворих засуджували не завжди; необхідна оборона визнавалася обставиною, що звільняла від покарання.</w:t>
      </w:r>
    </w:p>
    <w:p w:rsidR="001D056B" w:rsidRPr="006B2292" w:rsidRDefault="001D056B" w:rsidP="006B2292">
      <w:pPr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056B" w:rsidRPr="006B2292" w:rsidSect="006B2292">
      <w:footerReference w:type="default" r:id="rId23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B0D" w:rsidRDefault="00350B0D" w:rsidP="00032FFA">
      <w:pPr>
        <w:spacing w:after="0" w:line="240" w:lineRule="auto"/>
      </w:pPr>
      <w:r>
        <w:separator/>
      </w:r>
    </w:p>
  </w:endnote>
  <w:endnote w:type="continuationSeparator" w:id="0">
    <w:p w:rsidR="00350B0D" w:rsidRDefault="00350B0D" w:rsidP="0003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561078"/>
      <w:docPartObj>
        <w:docPartGallery w:val="Page Numbers (Bottom of Page)"/>
        <w:docPartUnique/>
      </w:docPartObj>
    </w:sdtPr>
    <w:sdtEndPr/>
    <w:sdtContent>
      <w:p w:rsidR="00032FFA" w:rsidRDefault="00032FF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6B1">
          <w:rPr>
            <w:noProof/>
          </w:rPr>
          <w:t>1</w:t>
        </w:r>
        <w:r>
          <w:fldChar w:fldCharType="end"/>
        </w:r>
      </w:p>
    </w:sdtContent>
  </w:sdt>
  <w:p w:rsidR="00032FFA" w:rsidRDefault="00032F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B0D" w:rsidRDefault="00350B0D" w:rsidP="00032FFA">
      <w:pPr>
        <w:spacing w:after="0" w:line="240" w:lineRule="auto"/>
      </w:pPr>
      <w:r>
        <w:separator/>
      </w:r>
    </w:p>
  </w:footnote>
  <w:footnote w:type="continuationSeparator" w:id="0">
    <w:p w:rsidR="00350B0D" w:rsidRDefault="00350B0D" w:rsidP="00032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4A6D"/>
    <w:multiLevelType w:val="multilevel"/>
    <w:tmpl w:val="063C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04E09"/>
    <w:multiLevelType w:val="multilevel"/>
    <w:tmpl w:val="C5E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30102"/>
    <w:multiLevelType w:val="multilevel"/>
    <w:tmpl w:val="9810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E6549"/>
    <w:multiLevelType w:val="multilevel"/>
    <w:tmpl w:val="C0DA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EC50DB"/>
    <w:multiLevelType w:val="multilevel"/>
    <w:tmpl w:val="6AE2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E74473"/>
    <w:multiLevelType w:val="multilevel"/>
    <w:tmpl w:val="7FB6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517ADF"/>
    <w:multiLevelType w:val="multilevel"/>
    <w:tmpl w:val="3A3C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EA25D8"/>
    <w:multiLevelType w:val="multilevel"/>
    <w:tmpl w:val="26B4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85127D"/>
    <w:multiLevelType w:val="multilevel"/>
    <w:tmpl w:val="DBF0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5F4DFB"/>
    <w:multiLevelType w:val="multilevel"/>
    <w:tmpl w:val="9FC0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7B1F30"/>
    <w:multiLevelType w:val="multilevel"/>
    <w:tmpl w:val="4036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F160D5"/>
    <w:multiLevelType w:val="multilevel"/>
    <w:tmpl w:val="2AA8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554418"/>
    <w:multiLevelType w:val="multilevel"/>
    <w:tmpl w:val="003A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11"/>
  </w:num>
  <w:num w:numId="9">
    <w:abstractNumId w:val="10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49"/>
    <w:rsid w:val="00032FFA"/>
    <w:rsid w:val="001D056B"/>
    <w:rsid w:val="00350B0D"/>
    <w:rsid w:val="003D7779"/>
    <w:rsid w:val="00426029"/>
    <w:rsid w:val="00580649"/>
    <w:rsid w:val="0064536F"/>
    <w:rsid w:val="006B2292"/>
    <w:rsid w:val="007806B1"/>
    <w:rsid w:val="00957387"/>
    <w:rsid w:val="00CD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FFA"/>
  </w:style>
  <w:style w:type="paragraph" w:styleId="a5">
    <w:name w:val="footer"/>
    <w:basedOn w:val="a"/>
    <w:link w:val="a6"/>
    <w:uiPriority w:val="99"/>
    <w:unhideWhenUsed/>
    <w:rsid w:val="00032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F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FFA"/>
  </w:style>
  <w:style w:type="paragraph" w:styleId="a5">
    <w:name w:val="footer"/>
    <w:basedOn w:val="a"/>
    <w:link w:val="a6"/>
    <w:uiPriority w:val="99"/>
    <w:unhideWhenUsed/>
    <w:rsid w:val="00032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41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93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62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.sumdu.edu.ua/textbooks/27961/108225/flash/2.swf" TargetMode="External"/><Relationship Id="rId13" Type="http://schemas.openxmlformats.org/officeDocument/2006/relationships/hyperlink" Target="https://dl.sumdu.edu.ua/textbooks/27961/108251/index.html" TargetMode="External"/><Relationship Id="rId18" Type="http://schemas.openxmlformats.org/officeDocument/2006/relationships/hyperlink" Target="https://dl.sumdu.edu.ua/textbooks/27961/108251/index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l.sumdu.edu.ua/textbooks/27961/108251/texts/2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l.sumdu.edu.ua/textbooks/27961/108251/index.html" TargetMode="External"/><Relationship Id="rId17" Type="http://schemas.openxmlformats.org/officeDocument/2006/relationships/hyperlink" Target="https://dl.sumdu.edu.ua/textbooks/27961/108251/index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l.sumdu.edu.ua/textbooks/27961/108251/index.html" TargetMode="External"/><Relationship Id="rId20" Type="http://schemas.openxmlformats.org/officeDocument/2006/relationships/hyperlink" Target="https://dl.sumdu.edu.ua/textbooks/27961/108251/index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l.sumdu.edu.ua/textbooks/27961/108251/index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l.sumdu.edu.ua/textbooks/27961/108251/index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l.sumdu.edu.ua/textbooks/27961/108251/index.html" TargetMode="External"/><Relationship Id="rId19" Type="http://schemas.openxmlformats.org/officeDocument/2006/relationships/hyperlink" Target="https://dl.sumdu.edu.ua/textbooks/27961/108251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.sumdu.edu.ua/textbooks/27961/108225/flash/1.swf" TargetMode="External"/><Relationship Id="rId14" Type="http://schemas.openxmlformats.org/officeDocument/2006/relationships/hyperlink" Target="https://dl.sumdu.edu.ua/textbooks/27961/108251/index.html" TargetMode="External"/><Relationship Id="rId22" Type="http://schemas.openxmlformats.org/officeDocument/2006/relationships/hyperlink" Target="https://dl.sumdu.edu.ua/textbooks/27961/108251/texts/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16</Pages>
  <Words>5575</Words>
  <Characters>31780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2020-09-28T13:24:00Z</dcterms:created>
  <dcterms:modified xsi:type="dcterms:W3CDTF">2020-09-28T18:57:00Z</dcterms:modified>
</cp:coreProperties>
</file>