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7B" w:rsidRPr="00E7747B" w:rsidRDefault="00E7747B" w:rsidP="00E7747B">
      <w:pPr>
        <w:spacing w:after="0" w:line="240" w:lineRule="auto"/>
        <w:jc w:val="center"/>
        <w:outlineLvl w:val="1"/>
        <w:rPr>
          <w:rFonts w:ascii="Arial" w:eastAsia="Times New Roman" w:hAnsi="Arial" w:cs="Arial"/>
          <w:color w:val="000000"/>
          <w:sz w:val="30"/>
          <w:szCs w:val="30"/>
          <w:lang w:eastAsia="uk-UA"/>
        </w:rPr>
      </w:pPr>
      <w:r w:rsidRPr="00E7747B">
        <w:rPr>
          <w:rFonts w:ascii="Arial" w:eastAsia="Times New Roman" w:hAnsi="Arial" w:cs="Arial"/>
          <w:color w:val="000000"/>
          <w:sz w:val="30"/>
          <w:szCs w:val="30"/>
          <w:lang w:eastAsia="uk-UA"/>
        </w:rPr>
        <w:t xml:space="preserve">Семінарське заняття </w:t>
      </w:r>
      <w:r>
        <w:rPr>
          <w:rFonts w:ascii="Arial" w:eastAsia="Times New Roman" w:hAnsi="Arial" w:cs="Arial"/>
          <w:color w:val="000000"/>
          <w:sz w:val="30"/>
          <w:szCs w:val="30"/>
          <w:lang w:eastAsia="uk-UA"/>
        </w:rPr>
        <w:t>2</w:t>
      </w:r>
    </w:p>
    <w:p w:rsidR="00E7747B" w:rsidRDefault="00E7747B" w:rsidP="00E7747B">
      <w:pPr>
        <w:jc w:val="center"/>
        <w:rPr>
          <w:b/>
          <w:sz w:val="32"/>
          <w:szCs w:val="32"/>
        </w:rPr>
      </w:pPr>
      <w:r w:rsidRPr="00E7747B">
        <w:rPr>
          <w:rFonts w:ascii="Arial" w:eastAsia="Times New Roman" w:hAnsi="Arial" w:cs="Arial"/>
          <w:color w:val="000000"/>
          <w:sz w:val="21"/>
          <w:szCs w:val="21"/>
          <w:lang w:eastAsia="uk-UA"/>
        </w:rPr>
        <w:t xml:space="preserve">Тема: </w:t>
      </w:r>
      <w:r w:rsidRPr="003B1C88">
        <w:rPr>
          <w:b/>
          <w:sz w:val="32"/>
          <w:szCs w:val="32"/>
        </w:rPr>
        <w:t>Правові засади організації та діяльно</w:t>
      </w:r>
      <w:r>
        <w:rPr>
          <w:b/>
          <w:sz w:val="32"/>
          <w:szCs w:val="32"/>
        </w:rPr>
        <w:t>сті політичних партій в Україні</w:t>
      </w:r>
    </w:p>
    <w:p w:rsidR="00965AAA" w:rsidRDefault="00965AAA" w:rsidP="00E7747B">
      <w:pPr>
        <w:jc w:val="center"/>
        <w:rPr>
          <w:b/>
          <w:sz w:val="32"/>
          <w:szCs w:val="32"/>
        </w:rPr>
      </w:pPr>
      <w:r>
        <w:rPr>
          <w:b/>
          <w:sz w:val="32"/>
          <w:szCs w:val="32"/>
        </w:rPr>
        <w:t>ПЛАН</w:t>
      </w:r>
    </w:p>
    <w:p w:rsidR="00965AAA" w:rsidRPr="00E7747B" w:rsidRDefault="00965AAA" w:rsidP="00965AAA">
      <w:pPr>
        <w:numPr>
          <w:ilvl w:val="0"/>
          <w:numId w:val="2"/>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Поняття та елементи громадянського суспільства в Україні. Сфери дії громадянського суспільства.</w:t>
      </w:r>
    </w:p>
    <w:p w:rsidR="00965AAA" w:rsidRPr="00E7747B" w:rsidRDefault="00965AAA" w:rsidP="00965AAA">
      <w:pPr>
        <w:numPr>
          <w:ilvl w:val="0"/>
          <w:numId w:val="2"/>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Зміст конституційного права громадян Україні на об’єднання. Поняття політичних партій, громадських організацій та громадських спілок.</w:t>
      </w:r>
    </w:p>
    <w:p w:rsidR="00965AAA" w:rsidRPr="00E7747B" w:rsidRDefault="00965AAA" w:rsidP="00965AAA">
      <w:pPr>
        <w:numPr>
          <w:ilvl w:val="0"/>
          <w:numId w:val="2"/>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Конституційно-правові гарантії діяльності політичних партій та громадських об’єднань. Права, обов’язки та заходи відповідальності політичних партій та громадських об’єднань.</w:t>
      </w:r>
    </w:p>
    <w:p w:rsidR="00965AAA" w:rsidRDefault="00965AAA" w:rsidP="00965AAA">
      <w:pPr>
        <w:pStyle w:val="1"/>
        <w:jc w:val="center"/>
        <w:rPr>
          <w:rFonts w:ascii="Arial" w:hAnsi="Arial" w:cs="Arial"/>
          <w:b w:val="0"/>
          <w:bCs w:val="0"/>
          <w:color w:val="000000"/>
          <w:sz w:val="33"/>
          <w:szCs w:val="33"/>
        </w:rPr>
      </w:pPr>
      <w:r>
        <w:rPr>
          <w:rFonts w:ascii="Arial" w:hAnsi="Arial" w:cs="Arial"/>
          <w:b w:val="0"/>
          <w:bCs w:val="0"/>
          <w:color w:val="000000"/>
          <w:sz w:val="33"/>
          <w:szCs w:val="33"/>
        </w:rPr>
        <w:t>Методичні вказівки</w:t>
      </w:r>
    </w:p>
    <w:p w:rsidR="00965AAA" w:rsidRDefault="00965AAA" w:rsidP="00965AAA">
      <w:pPr>
        <w:pStyle w:val="a3"/>
        <w:rPr>
          <w:rFonts w:ascii="Arial" w:hAnsi="Arial" w:cs="Arial"/>
          <w:color w:val="000000"/>
          <w:sz w:val="21"/>
          <w:szCs w:val="21"/>
        </w:rPr>
      </w:pPr>
      <w:r>
        <w:rPr>
          <w:rFonts w:ascii="Arial" w:hAnsi="Arial" w:cs="Arial"/>
          <w:i/>
          <w:iCs/>
          <w:color w:val="000000"/>
          <w:sz w:val="21"/>
          <w:szCs w:val="21"/>
        </w:rPr>
        <w:t>Ключові терміни та поняття:</w:t>
      </w:r>
      <w:r>
        <w:rPr>
          <w:rStyle w:val="apple-converted-space"/>
          <w:rFonts w:ascii="Arial" w:hAnsi="Arial" w:cs="Arial"/>
          <w:i/>
          <w:iCs/>
          <w:color w:val="000000"/>
          <w:sz w:val="21"/>
          <w:szCs w:val="21"/>
        </w:rPr>
        <w:t> </w:t>
      </w:r>
      <w:r>
        <w:rPr>
          <w:rFonts w:ascii="Arial" w:hAnsi="Arial" w:cs="Arial"/>
          <w:color w:val="000000"/>
          <w:sz w:val="21"/>
          <w:szCs w:val="21"/>
        </w:rPr>
        <w:t>громадянське суспільство, політичні партії, громадські об’єднання, громадські організації, громадські спілки</w:t>
      </w:r>
      <w:r>
        <w:rPr>
          <w:rFonts w:ascii="Arial" w:hAnsi="Arial" w:cs="Arial"/>
          <w:color w:val="000000"/>
          <w:sz w:val="21"/>
          <w:szCs w:val="21"/>
        </w:rPr>
        <w:t>,</w:t>
      </w:r>
      <w:r>
        <w:rPr>
          <w:rFonts w:ascii="Arial" w:hAnsi="Arial" w:cs="Arial"/>
          <w:color w:val="000000"/>
          <w:sz w:val="21"/>
          <w:szCs w:val="21"/>
        </w:rPr>
        <w:t xml:space="preserve"> право на інформацію, право на доступ до публічної інформації.</w:t>
      </w:r>
    </w:p>
    <w:p w:rsidR="00965AAA" w:rsidRDefault="00965AAA" w:rsidP="00965AAA">
      <w:pPr>
        <w:pStyle w:val="a3"/>
        <w:rPr>
          <w:rFonts w:ascii="Arial" w:hAnsi="Arial" w:cs="Arial"/>
          <w:color w:val="000000"/>
          <w:sz w:val="21"/>
          <w:szCs w:val="21"/>
        </w:rPr>
      </w:pPr>
      <w:r>
        <w:rPr>
          <w:rFonts w:ascii="Arial" w:hAnsi="Arial" w:cs="Arial"/>
          <w:i/>
          <w:iCs/>
          <w:color w:val="000000"/>
          <w:sz w:val="21"/>
          <w:szCs w:val="21"/>
        </w:rPr>
        <w:t>Особливу увагу слід звернути на такі питання:</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елементи та сфери дії громадянського суспільства;</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поняття та зміст конституційного права на об’єднання;</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обмеження щодо створення, діяльності та членства в політичних партіях та громадських об’єднаннях;</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порядок створення та легалізації політичних партій та громадських об’єднань;</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прав та обов’язки політичних партій та громадських об’єднань, їх відповідальність;</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конституційне право на інформацію в Україні та конституційні принципи інформаційних правовідносин;</w:t>
      </w:r>
    </w:p>
    <w:p w:rsidR="00965AAA" w:rsidRDefault="00965AAA" w:rsidP="00965AAA">
      <w:pPr>
        <w:pStyle w:val="a3"/>
        <w:numPr>
          <w:ilvl w:val="0"/>
          <w:numId w:val="3"/>
        </w:numPr>
        <w:rPr>
          <w:rFonts w:ascii="Arial" w:hAnsi="Arial" w:cs="Arial"/>
          <w:color w:val="000000"/>
          <w:sz w:val="21"/>
          <w:szCs w:val="21"/>
        </w:rPr>
      </w:pPr>
      <w:r>
        <w:rPr>
          <w:rFonts w:ascii="Arial" w:hAnsi="Arial" w:cs="Arial"/>
          <w:color w:val="000000"/>
          <w:sz w:val="21"/>
          <w:szCs w:val="21"/>
        </w:rPr>
        <w:t>право на інформацію та право на доступ до публічної інформації: правове регулювання та розмежування понять.</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bookmarkStart w:id="0" w:name="_GoBack"/>
      <w:bookmarkEnd w:id="0"/>
      <w:r w:rsidRPr="00E7747B">
        <w:rPr>
          <w:rFonts w:ascii="Arial" w:eastAsia="Times New Roman" w:hAnsi="Arial" w:cs="Arial"/>
          <w:b/>
          <w:bCs/>
          <w:i/>
          <w:iCs/>
          <w:color w:val="000000"/>
          <w:sz w:val="21"/>
          <w:szCs w:val="21"/>
          <w:lang w:eastAsia="uk-UA"/>
        </w:rPr>
        <w:t xml:space="preserve">Завдання </w:t>
      </w:r>
      <w:r w:rsidR="00965AAA">
        <w:rPr>
          <w:rFonts w:ascii="Arial" w:eastAsia="Times New Roman" w:hAnsi="Arial" w:cs="Arial"/>
          <w:b/>
          <w:bCs/>
          <w:i/>
          <w:iCs/>
          <w:color w:val="000000"/>
          <w:sz w:val="21"/>
          <w:szCs w:val="21"/>
          <w:lang w:eastAsia="uk-UA"/>
        </w:rPr>
        <w:t>1</w:t>
      </w:r>
      <w:r w:rsidRPr="00E7747B">
        <w:rPr>
          <w:rFonts w:ascii="Arial" w:eastAsia="Times New Roman" w:hAnsi="Arial" w:cs="Arial"/>
          <w:b/>
          <w:bCs/>
          <w:i/>
          <w:iCs/>
          <w:color w:val="000000"/>
          <w:sz w:val="21"/>
          <w:szCs w:val="21"/>
          <w:lang w:eastAsia="uk-UA"/>
        </w:rPr>
        <w:t>. </w:t>
      </w:r>
      <w:r w:rsidRPr="00E7747B">
        <w:rPr>
          <w:rFonts w:ascii="Arial" w:eastAsia="Times New Roman" w:hAnsi="Arial" w:cs="Arial"/>
          <w:color w:val="000000"/>
          <w:sz w:val="21"/>
          <w:szCs w:val="21"/>
          <w:lang w:eastAsia="uk-UA"/>
        </w:rPr>
        <w:t>Проведіть порівняльну характеристику політичних партій та громадських організацій та оформіть у вигляді таблиці (врахуйте, який закон є загальним, а який спеціальним):</w:t>
      </w:r>
    </w:p>
    <w:tbl>
      <w:tblPr>
        <w:tblW w:w="63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895"/>
        <w:gridCol w:w="1757"/>
        <w:gridCol w:w="1723"/>
      </w:tblGrid>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Критерій порівняльної характеристики</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Політичні партії</w:t>
            </w: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Громадські організації</w:t>
            </w: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Мета створення</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Членство</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Види</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Способи легалізації</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Обмеження діяльності</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Обмеження у фінансуванні</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Права</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Заходи відповідальності</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r w:rsidR="00E7747B" w:rsidRPr="00E7747B" w:rsidTr="00E7747B">
        <w:tc>
          <w:tcPr>
            <w:tcW w:w="259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Інші критерії</w:t>
            </w:r>
          </w:p>
        </w:tc>
        <w:tc>
          <w:tcPr>
            <w:tcW w:w="157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c>
          <w:tcPr>
            <w:tcW w:w="1545" w:type="dxa"/>
            <w:tcBorders>
              <w:top w:val="single" w:sz="6" w:space="0" w:color="000000"/>
              <w:left w:val="single" w:sz="6" w:space="0" w:color="000000"/>
              <w:bottom w:val="single" w:sz="6" w:space="0" w:color="000000"/>
              <w:right w:val="single" w:sz="6" w:space="0" w:color="000000"/>
            </w:tcBorders>
            <w:hideMark/>
          </w:tcPr>
          <w:p w:rsidR="00E7747B" w:rsidRPr="00E7747B" w:rsidRDefault="00E7747B" w:rsidP="00E7747B">
            <w:pPr>
              <w:spacing w:after="0" w:line="240" w:lineRule="auto"/>
              <w:rPr>
                <w:rFonts w:ascii="Arial" w:eastAsia="Times New Roman" w:hAnsi="Arial" w:cs="Arial"/>
                <w:color w:val="000000"/>
                <w:sz w:val="21"/>
                <w:szCs w:val="21"/>
                <w:lang w:eastAsia="uk-UA"/>
              </w:rPr>
            </w:pPr>
          </w:p>
        </w:tc>
      </w:tr>
    </w:tbl>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i/>
          <w:iCs/>
          <w:color w:val="000000"/>
          <w:sz w:val="21"/>
          <w:szCs w:val="21"/>
          <w:lang w:eastAsia="uk-UA"/>
        </w:rPr>
        <w:lastRenderedPageBreak/>
        <w:t xml:space="preserve">Завдання </w:t>
      </w:r>
      <w:r w:rsidR="00965AAA">
        <w:rPr>
          <w:rFonts w:ascii="Arial" w:eastAsia="Times New Roman" w:hAnsi="Arial" w:cs="Arial"/>
          <w:b/>
          <w:bCs/>
          <w:i/>
          <w:iCs/>
          <w:color w:val="000000"/>
          <w:sz w:val="21"/>
          <w:szCs w:val="21"/>
          <w:lang w:eastAsia="uk-UA"/>
        </w:rPr>
        <w:t>2</w:t>
      </w:r>
      <w:r w:rsidRPr="00E7747B">
        <w:rPr>
          <w:rFonts w:ascii="Arial" w:eastAsia="Times New Roman" w:hAnsi="Arial" w:cs="Arial"/>
          <w:b/>
          <w:bCs/>
          <w:i/>
          <w:iCs/>
          <w:color w:val="000000"/>
          <w:sz w:val="21"/>
          <w:szCs w:val="21"/>
          <w:lang w:eastAsia="uk-UA"/>
        </w:rPr>
        <w:t>. </w:t>
      </w:r>
      <w:r w:rsidRPr="00E7747B">
        <w:rPr>
          <w:rFonts w:ascii="Arial" w:eastAsia="Times New Roman" w:hAnsi="Arial" w:cs="Arial"/>
          <w:color w:val="000000"/>
          <w:sz w:val="21"/>
          <w:szCs w:val="21"/>
          <w:lang w:eastAsia="uk-UA"/>
        </w:rPr>
        <w:t>Складіть перелік відомих вам політичних партій та громадських організацій, або подайте інформацію про кількість легалізованих політичних партій та громадських організацій, використовуючи додаткові джерела.</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i/>
          <w:iCs/>
          <w:color w:val="000000"/>
          <w:sz w:val="21"/>
          <w:szCs w:val="21"/>
          <w:lang w:eastAsia="uk-UA"/>
        </w:rPr>
        <w:t xml:space="preserve">Завдання </w:t>
      </w:r>
      <w:r w:rsidR="00965AAA">
        <w:rPr>
          <w:rFonts w:ascii="Arial" w:eastAsia="Times New Roman" w:hAnsi="Arial" w:cs="Arial"/>
          <w:b/>
          <w:bCs/>
          <w:i/>
          <w:iCs/>
          <w:color w:val="000000"/>
          <w:sz w:val="21"/>
          <w:szCs w:val="21"/>
          <w:lang w:eastAsia="uk-UA"/>
        </w:rPr>
        <w:t>3</w:t>
      </w:r>
      <w:r w:rsidRPr="00E7747B">
        <w:rPr>
          <w:rFonts w:ascii="Arial" w:eastAsia="Times New Roman" w:hAnsi="Arial" w:cs="Arial"/>
          <w:b/>
          <w:bCs/>
          <w:i/>
          <w:iCs/>
          <w:color w:val="000000"/>
          <w:sz w:val="21"/>
          <w:szCs w:val="21"/>
          <w:lang w:eastAsia="uk-UA"/>
        </w:rPr>
        <w:t>. </w:t>
      </w:r>
      <w:r w:rsidRPr="00E7747B">
        <w:rPr>
          <w:rFonts w:ascii="Arial" w:eastAsia="Times New Roman" w:hAnsi="Arial" w:cs="Arial"/>
          <w:color w:val="000000"/>
          <w:sz w:val="21"/>
          <w:szCs w:val="21"/>
          <w:lang w:eastAsia="uk-UA"/>
        </w:rPr>
        <w:t>Законспектуйте конституційно-правові принципи та засади державної інформаційної політики (Ст. 2, 3 Закону України “Про інформацію” від 02.10.1992 р. (в редакції Закону від 13.01.2011 р. // ВВРУ. - 2011. - №32. - Ст. 313.</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i/>
          <w:iCs/>
          <w:color w:val="000000"/>
          <w:sz w:val="21"/>
          <w:szCs w:val="21"/>
          <w:lang w:eastAsia="uk-UA"/>
        </w:rPr>
        <w:t xml:space="preserve">Завдання </w:t>
      </w:r>
      <w:r w:rsidR="00965AAA">
        <w:rPr>
          <w:rFonts w:ascii="Arial" w:eastAsia="Times New Roman" w:hAnsi="Arial" w:cs="Arial"/>
          <w:b/>
          <w:bCs/>
          <w:i/>
          <w:iCs/>
          <w:color w:val="000000"/>
          <w:sz w:val="21"/>
          <w:szCs w:val="21"/>
          <w:lang w:eastAsia="uk-UA"/>
        </w:rPr>
        <w:t>4</w:t>
      </w:r>
      <w:r w:rsidRPr="00E7747B">
        <w:rPr>
          <w:rFonts w:ascii="Arial" w:eastAsia="Times New Roman" w:hAnsi="Arial" w:cs="Arial"/>
          <w:b/>
          <w:bCs/>
          <w:i/>
          <w:iCs/>
          <w:color w:val="000000"/>
          <w:sz w:val="21"/>
          <w:szCs w:val="21"/>
          <w:lang w:eastAsia="uk-UA"/>
        </w:rPr>
        <w:t>. </w:t>
      </w:r>
      <w:r w:rsidRPr="00E7747B">
        <w:rPr>
          <w:rFonts w:ascii="Arial" w:eastAsia="Times New Roman" w:hAnsi="Arial" w:cs="Arial"/>
          <w:color w:val="000000"/>
          <w:sz w:val="21"/>
          <w:szCs w:val="21"/>
          <w:lang w:eastAsia="uk-UA"/>
        </w:rPr>
        <w:t>Вирішить задачі.</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Задача 1. </w:t>
      </w:r>
      <w:r w:rsidRPr="00E7747B">
        <w:rPr>
          <w:rFonts w:ascii="Arial" w:eastAsia="Times New Roman" w:hAnsi="Arial" w:cs="Arial"/>
          <w:color w:val="000000"/>
          <w:sz w:val="21"/>
          <w:szCs w:val="21"/>
          <w:lang w:eastAsia="uk-UA"/>
        </w:rPr>
        <w:t>За поданням</w:t>
      </w:r>
      <w:r w:rsidRPr="00E7747B">
        <w:rPr>
          <w:rFonts w:ascii="Arial" w:eastAsia="Times New Roman" w:hAnsi="Arial" w:cs="Arial"/>
          <w:b/>
          <w:bCs/>
          <w:color w:val="000000"/>
          <w:sz w:val="21"/>
          <w:szCs w:val="21"/>
          <w:lang w:eastAsia="uk-UA"/>
        </w:rPr>
        <w:t> </w:t>
      </w:r>
      <w:r w:rsidRPr="00E7747B">
        <w:rPr>
          <w:rFonts w:ascii="Arial" w:eastAsia="Times New Roman" w:hAnsi="Arial" w:cs="Arial"/>
          <w:color w:val="000000"/>
          <w:sz w:val="21"/>
          <w:szCs w:val="21"/>
          <w:lang w:eastAsia="uk-UA"/>
        </w:rPr>
        <w:t xml:space="preserve">прокурора міста Хмельницького місцевий суд міста Хмельницького на підставі п. 2 Ч. 1 </w:t>
      </w:r>
      <w:proofErr w:type="spellStart"/>
      <w:r w:rsidRPr="00E7747B">
        <w:rPr>
          <w:rFonts w:ascii="Arial" w:eastAsia="Times New Roman" w:hAnsi="Arial" w:cs="Arial"/>
          <w:color w:val="000000"/>
          <w:sz w:val="21"/>
          <w:szCs w:val="21"/>
          <w:lang w:eastAsia="uk-UA"/>
        </w:rPr>
        <w:t>Ст</w:t>
      </w:r>
      <w:proofErr w:type="spellEnd"/>
      <w:r w:rsidRPr="00E7747B">
        <w:rPr>
          <w:rFonts w:ascii="Arial" w:eastAsia="Times New Roman" w:hAnsi="Arial" w:cs="Arial"/>
          <w:color w:val="000000"/>
          <w:sz w:val="21"/>
          <w:szCs w:val="21"/>
          <w:lang w:eastAsia="uk-UA"/>
        </w:rPr>
        <w:t xml:space="preserve">. 25 та Ч. 1 Ст. 28 Закону України “Про громадські об’єднання” прийняв рішення про заборону (примусовий розпуск) обласного осередку спілки вірмен України, мотивуючи це тим, що створення громадської організації за національною ознакою порушує Ч. 2 </w:t>
      </w:r>
      <w:proofErr w:type="spellStart"/>
      <w:r w:rsidRPr="00E7747B">
        <w:rPr>
          <w:rFonts w:ascii="Arial" w:eastAsia="Times New Roman" w:hAnsi="Arial" w:cs="Arial"/>
          <w:color w:val="000000"/>
          <w:sz w:val="21"/>
          <w:szCs w:val="21"/>
          <w:lang w:eastAsia="uk-UA"/>
        </w:rPr>
        <w:t>Ст</w:t>
      </w:r>
      <w:proofErr w:type="spellEnd"/>
      <w:r w:rsidRPr="00E7747B">
        <w:rPr>
          <w:rFonts w:ascii="Arial" w:eastAsia="Times New Roman" w:hAnsi="Arial" w:cs="Arial"/>
          <w:color w:val="000000"/>
          <w:sz w:val="21"/>
          <w:szCs w:val="21"/>
          <w:lang w:eastAsia="uk-UA"/>
        </w:rPr>
        <w:t>. 24 Конституції України і такі дії можуть бути кваліфіковані за Ч. 1 Ст. 4 Закону України “Про громадські об’єднання”, як розпалювання міжетнічної ворожнечі. Дайте юридичну оцінку справи.</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Задача 3. </w:t>
      </w:r>
      <w:r w:rsidRPr="00E7747B">
        <w:rPr>
          <w:rFonts w:ascii="Arial" w:eastAsia="Times New Roman" w:hAnsi="Arial" w:cs="Arial"/>
          <w:color w:val="000000"/>
          <w:sz w:val="21"/>
          <w:szCs w:val="21"/>
          <w:lang w:eastAsia="uk-UA"/>
        </w:rPr>
        <w:t xml:space="preserve">22 вересня 2010 року з політичної партії “Храм” був виключений голова партії </w:t>
      </w:r>
      <w:proofErr w:type="spellStart"/>
      <w:r w:rsidRPr="00E7747B">
        <w:rPr>
          <w:rFonts w:ascii="Arial" w:eastAsia="Times New Roman" w:hAnsi="Arial" w:cs="Arial"/>
          <w:color w:val="000000"/>
          <w:sz w:val="21"/>
          <w:szCs w:val="21"/>
          <w:lang w:eastAsia="uk-UA"/>
        </w:rPr>
        <w:t>Ватмієнко</w:t>
      </w:r>
      <w:proofErr w:type="spellEnd"/>
      <w:r w:rsidRPr="00E7747B">
        <w:rPr>
          <w:rFonts w:ascii="Arial" w:eastAsia="Times New Roman" w:hAnsi="Arial" w:cs="Arial"/>
          <w:color w:val="000000"/>
          <w:sz w:val="21"/>
          <w:szCs w:val="21"/>
          <w:lang w:eastAsia="uk-UA"/>
        </w:rPr>
        <w:t xml:space="preserve"> А.А., який подав позов до суду щодо поновлення його у партії, зазначивши, що в наслідок такого виключення було порушено його конституційне право на свободу об’єднання у політичні партії (закріплене Ч.1 Ст. 36 Конституції України, Ст. 1 Закону України “Про політичні партії в Україні” та Ч.1 Ст. 20 Загальної декларації прав людини від 10.12.1948 року). Підготуйте мотивоване рішення суду з посиланням на чинне законодавство.</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Задача 4.</w:t>
      </w:r>
      <w:r w:rsidRPr="00E7747B">
        <w:rPr>
          <w:rFonts w:ascii="Arial" w:eastAsia="Times New Roman" w:hAnsi="Arial" w:cs="Arial"/>
          <w:color w:val="000000"/>
          <w:sz w:val="21"/>
          <w:szCs w:val="21"/>
          <w:lang w:eastAsia="uk-UA"/>
        </w:rPr>
        <w:t>В Міністерство юстиції України 30 січня 2012 року поштою надійшла заява про реєстрацію політичної партії “Вставай, Україно” з необхідними супровідними документами. 15 березня 2012 було прийнято рішення про відмову у реєстрації політичної партії, про що 28 березня 2012 року було письмово повідомлено заявника. Зокрема, Міністерством юстиції України було вказано на наступні порушення:</w:t>
      </w:r>
    </w:p>
    <w:p w:rsidR="00E7747B" w:rsidRPr="00E7747B" w:rsidRDefault="00E7747B" w:rsidP="00E7747B">
      <w:pPr>
        <w:numPr>
          <w:ilvl w:val="0"/>
          <w:numId w:val="1"/>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підписи на підтримку політичної партії не збирались в містах Києві та Севастополі, що вимагається Ст. 10 Закону України “Про політичні партії в Україні”;</w:t>
      </w:r>
    </w:p>
    <w:p w:rsidR="00E7747B" w:rsidRPr="00E7747B" w:rsidRDefault="00E7747B" w:rsidP="00E7747B">
      <w:pPr>
        <w:numPr>
          <w:ilvl w:val="0"/>
          <w:numId w:val="1"/>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 xml:space="preserve">серед підписів на підтримку створення політичної партії були виявлені підписи судді місцевого суду </w:t>
      </w:r>
      <w:proofErr w:type="spellStart"/>
      <w:r w:rsidRPr="00E7747B">
        <w:rPr>
          <w:rFonts w:ascii="Arial" w:eastAsia="Times New Roman" w:hAnsi="Arial" w:cs="Arial"/>
          <w:color w:val="000000"/>
          <w:sz w:val="21"/>
          <w:szCs w:val="21"/>
          <w:lang w:eastAsia="uk-UA"/>
        </w:rPr>
        <w:t>Новоселецького</w:t>
      </w:r>
      <w:proofErr w:type="spellEnd"/>
      <w:r w:rsidRPr="00E7747B">
        <w:rPr>
          <w:rFonts w:ascii="Arial" w:eastAsia="Times New Roman" w:hAnsi="Arial" w:cs="Arial"/>
          <w:color w:val="000000"/>
          <w:sz w:val="21"/>
          <w:szCs w:val="21"/>
          <w:lang w:eastAsia="uk-UA"/>
        </w:rPr>
        <w:t xml:space="preserve"> району Чернівецької області Іванченка П.П. та старшого слідчого Макіївського районного управлінні внутрішніх справ, капітана міліції Сенченка А.В, що суперечить Ст. 6 Закону України “Про політичні партії в Україні”;</w:t>
      </w:r>
    </w:p>
    <w:p w:rsidR="00E7747B" w:rsidRPr="00E7747B" w:rsidRDefault="00E7747B" w:rsidP="00E7747B">
      <w:pPr>
        <w:numPr>
          <w:ilvl w:val="0"/>
          <w:numId w:val="1"/>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партія повідомила про те, що збирається відкрити банківський рахунок у Приватбанку України, а він є не державним, а комерційним, і крім того, партія повинна була повідомити номера відкритих рахунків;</w:t>
      </w:r>
    </w:p>
    <w:p w:rsidR="00E7747B" w:rsidRPr="00E7747B" w:rsidRDefault="00E7747B" w:rsidP="00E7747B">
      <w:pPr>
        <w:numPr>
          <w:ilvl w:val="0"/>
          <w:numId w:val="1"/>
        </w:num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протокол установчого з’їзду містить дату та місце його проведення, проте, не містить інформацію про результати голосування на цьому з’їзді.</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color w:val="000000"/>
          <w:sz w:val="21"/>
          <w:szCs w:val="21"/>
          <w:lang w:eastAsia="uk-UA"/>
        </w:rPr>
        <w:t>Політична партія оскаржила рішення Міністерства юстиції України до вищестоящого органу, яким виступає Кабінет Міністрів України і висловила свої заперечення по кожному пункту зауважень, а також зазначила, що Міністерство юстиції України порушило строки розгляду заяви про реєстрацію, визначенні Ч. 14 Ст.11 Закону України “Про політичні партії в Україні”, оскільки документи про реєстрацію були відправлені 15 січня 2012 року, підтвердженням чого є поштовий штамп. Дайте юридичну оцінку справи.</w:t>
      </w:r>
    </w:p>
    <w:p w:rsidR="00E7747B" w:rsidRPr="00E7747B" w:rsidRDefault="00E7747B" w:rsidP="00E7747B">
      <w:pPr>
        <w:spacing w:before="100" w:beforeAutospacing="1" w:after="100" w:afterAutospacing="1" w:line="240" w:lineRule="auto"/>
        <w:rPr>
          <w:rFonts w:ascii="Arial" w:eastAsia="Times New Roman" w:hAnsi="Arial" w:cs="Arial"/>
          <w:color w:val="000000"/>
          <w:sz w:val="21"/>
          <w:szCs w:val="21"/>
          <w:lang w:eastAsia="uk-UA"/>
        </w:rPr>
      </w:pPr>
      <w:r w:rsidRPr="00E7747B">
        <w:rPr>
          <w:rFonts w:ascii="Arial" w:eastAsia="Times New Roman" w:hAnsi="Arial" w:cs="Arial"/>
          <w:b/>
          <w:bCs/>
          <w:color w:val="000000"/>
          <w:sz w:val="21"/>
          <w:szCs w:val="21"/>
          <w:lang w:eastAsia="uk-UA"/>
        </w:rPr>
        <w:t>Задача 5.</w:t>
      </w:r>
      <w:r w:rsidRPr="00E7747B">
        <w:rPr>
          <w:rFonts w:ascii="Arial" w:eastAsia="Times New Roman" w:hAnsi="Arial" w:cs="Arial"/>
          <w:color w:val="000000"/>
          <w:sz w:val="21"/>
          <w:szCs w:val="21"/>
          <w:lang w:eastAsia="uk-UA"/>
        </w:rPr>
        <w:t>25 вересня 2011 року Хмельницький обласний осередок партії “За незалежну Україну”, легалізований згідно чинного законодавства шляхом реєстрації, провів несанкціонований мітинг, який призвів до масових заворушень в обласному центрі, побиттю вітрин магазинів, завданню фізичним особам тілесних ушкоджень різного ступеня тяжкості. За зверненням обласного управління юстиції Хмельницький окружний адміністративний суд прийняв рішення про заборону діяльності Хмельницького обласного осередку партії згідно Ст. 21 Закону України “Про політичні партії в Україні” та зобов’язав відшкодувати завдані місту збитки шляхом перерахування до міського бюджету коштів на загальну суму 10 тис. гривень. Дайте юридичну оцінку ситуації.</w:t>
      </w:r>
    </w:p>
    <w:p w:rsidR="007671C8" w:rsidRDefault="007671C8"/>
    <w:sectPr w:rsidR="00767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7B8"/>
    <w:multiLevelType w:val="multilevel"/>
    <w:tmpl w:val="053A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8548A"/>
    <w:multiLevelType w:val="multilevel"/>
    <w:tmpl w:val="0A9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E4F36"/>
    <w:multiLevelType w:val="multilevel"/>
    <w:tmpl w:val="391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7B"/>
    <w:rsid w:val="007671C8"/>
    <w:rsid w:val="00866A32"/>
    <w:rsid w:val="00965AAA"/>
    <w:rsid w:val="009750AA"/>
    <w:rsid w:val="00D60ABE"/>
    <w:rsid w:val="00E7747B"/>
    <w:rsid w:val="00F65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747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7747B"/>
  </w:style>
  <w:style w:type="character" w:customStyle="1" w:styleId="20">
    <w:name w:val="Заголовок 2 Знак"/>
    <w:basedOn w:val="a0"/>
    <w:link w:val="2"/>
    <w:uiPriority w:val="9"/>
    <w:rsid w:val="00E7747B"/>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965A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747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7747B"/>
  </w:style>
  <w:style w:type="character" w:customStyle="1" w:styleId="20">
    <w:name w:val="Заголовок 2 Знак"/>
    <w:basedOn w:val="a0"/>
    <w:link w:val="2"/>
    <w:uiPriority w:val="9"/>
    <w:rsid w:val="00E7747B"/>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965A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2238">
      <w:bodyDiv w:val="1"/>
      <w:marLeft w:val="0"/>
      <w:marRight w:val="0"/>
      <w:marTop w:val="0"/>
      <w:marBottom w:val="0"/>
      <w:divBdr>
        <w:top w:val="none" w:sz="0" w:space="0" w:color="auto"/>
        <w:left w:val="none" w:sz="0" w:space="0" w:color="auto"/>
        <w:bottom w:val="none" w:sz="0" w:space="0" w:color="auto"/>
        <w:right w:val="none" w:sz="0" w:space="0" w:color="auto"/>
      </w:divBdr>
    </w:div>
    <w:div w:id="1641300586">
      <w:bodyDiv w:val="1"/>
      <w:marLeft w:val="0"/>
      <w:marRight w:val="0"/>
      <w:marTop w:val="0"/>
      <w:marBottom w:val="0"/>
      <w:divBdr>
        <w:top w:val="none" w:sz="0" w:space="0" w:color="auto"/>
        <w:left w:val="none" w:sz="0" w:space="0" w:color="auto"/>
        <w:bottom w:val="none" w:sz="0" w:space="0" w:color="auto"/>
        <w:right w:val="none" w:sz="0" w:space="0" w:color="auto"/>
      </w:divBdr>
    </w:div>
    <w:div w:id="17410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3664</Words>
  <Characters>2090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2017-03-05T21:49:00Z</dcterms:created>
  <dcterms:modified xsi:type="dcterms:W3CDTF">2017-03-05T21:49:00Z</dcterms:modified>
</cp:coreProperties>
</file>