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C139" w14:textId="77777777" w:rsidR="006232C2" w:rsidRPr="006232C2" w:rsidRDefault="006232C2" w:rsidP="006232C2">
      <w:pPr>
        <w:jc w:val="center"/>
        <w:rPr>
          <w:b/>
          <w:bCs/>
        </w:rPr>
      </w:pPr>
      <w:r w:rsidRPr="006232C2">
        <w:rPr>
          <w:b/>
          <w:bCs/>
        </w:rPr>
        <w:t>ОРІЄНТОВНІ ПИТАННЯ ПІДСУМКОВОГО КОНТРОЛЮ ЗНАНЬ СТУДЕНТІВ</w:t>
      </w:r>
    </w:p>
    <w:p w14:paraId="053CE49F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1.</w:t>
      </w:r>
      <w:r w:rsidRPr="006232C2">
        <w:rPr>
          <w:lang w:val="uk-UA"/>
        </w:rPr>
        <w:tab/>
        <w:t xml:space="preserve">Поняття, загальна характеристика виконавчого провадження як юрисдикційної діяльності. </w:t>
      </w:r>
    </w:p>
    <w:p w14:paraId="0C1B57A5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2.</w:t>
      </w:r>
      <w:r w:rsidRPr="006232C2">
        <w:rPr>
          <w:lang w:val="uk-UA"/>
        </w:rPr>
        <w:tab/>
        <w:t xml:space="preserve">Предмет та метод правового регулювання виконавчих відносин. </w:t>
      </w:r>
    </w:p>
    <w:p w14:paraId="0FFE0B0B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3.</w:t>
      </w:r>
      <w:r w:rsidRPr="006232C2">
        <w:rPr>
          <w:lang w:val="uk-UA"/>
        </w:rPr>
        <w:tab/>
        <w:t xml:space="preserve">Джерела виконавчого провадження. </w:t>
      </w:r>
    </w:p>
    <w:p w14:paraId="1FFA5E05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4.</w:t>
      </w:r>
      <w:r w:rsidRPr="006232C2">
        <w:rPr>
          <w:lang w:val="uk-UA"/>
        </w:rPr>
        <w:tab/>
        <w:t xml:space="preserve">Засади виконавчого провадження. </w:t>
      </w:r>
    </w:p>
    <w:p w14:paraId="62F5A20F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5.</w:t>
      </w:r>
      <w:r w:rsidRPr="006232C2">
        <w:rPr>
          <w:lang w:val="uk-UA"/>
        </w:rPr>
        <w:tab/>
        <w:t xml:space="preserve">Підстави виконання. Поняття, види, зміст, форма виконавчого документа. </w:t>
      </w:r>
    </w:p>
    <w:p w14:paraId="0456F4CA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6.</w:t>
      </w:r>
      <w:r w:rsidRPr="006232C2">
        <w:rPr>
          <w:lang w:val="uk-UA"/>
        </w:rPr>
        <w:tab/>
        <w:t xml:space="preserve">Автоматизована система виконавчого провадження. </w:t>
      </w:r>
    </w:p>
    <w:p w14:paraId="16F9ACF9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7.</w:t>
      </w:r>
      <w:r w:rsidRPr="006232C2">
        <w:rPr>
          <w:lang w:val="uk-UA"/>
        </w:rPr>
        <w:tab/>
        <w:t xml:space="preserve">Єдиний реєстр боржників. </w:t>
      </w:r>
    </w:p>
    <w:p w14:paraId="036D79CB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8.</w:t>
      </w:r>
      <w:r w:rsidRPr="006232C2">
        <w:rPr>
          <w:lang w:val="uk-UA"/>
        </w:rPr>
        <w:tab/>
        <w:t xml:space="preserve">Заходи примусового виконання рішень. </w:t>
      </w:r>
    </w:p>
    <w:p w14:paraId="19E6101A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9.</w:t>
      </w:r>
      <w:r w:rsidRPr="006232C2">
        <w:rPr>
          <w:lang w:val="uk-UA"/>
        </w:rPr>
        <w:tab/>
        <w:t>Строки у виконавчому провадженні.</w:t>
      </w:r>
    </w:p>
    <w:p w14:paraId="2A04877E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10.</w:t>
      </w:r>
      <w:r w:rsidRPr="006232C2">
        <w:rPr>
          <w:lang w:val="uk-UA"/>
        </w:rPr>
        <w:tab/>
        <w:t xml:space="preserve">Класифікація суб’єктів відносин виконавчого провадження. </w:t>
      </w:r>
    </w:p>
    <w:p w14:paraId="0ACEC2A5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11.</w:t>
      </w:r>
      <w:r w:rsidRPr="006232C2">
        <w:rPr>
          <w:lang w:val="uk-UA"/>
        </w:rPr>
        <w:tab/>
        <w:t xml:space="preserve">Органи та особи, які здійснюють примусове виконання судових рішень і рішень інших органів (державна виконавча служба, приватні виконавці). </w:t>
      </w:r>
    </w:p>
    <w:p w14:paraId="390DED90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12.</w:t>
      </w:r>
      <w:r w:rsidRPr="006232C2">
        <w:rPr>
          <w:lang w:val="uk-UA"/>
        </w:rPr>
        <w:tab/>
        <w:t>Державна виконавча служба.</w:t>
      </w:r>
    </w:p>
    <w:p w14:paraId="665F7AF0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13.</w:t>
      </w:r>
      <w:r w:rsidRPr="006232C2">
        <w:rPr>
          <w:lang w:val="uk-UA"/>
        </w:rPr>
        <w:tab/>
        <w:t>Вимоги до приватних виконавців.</w:t>
      </w:r>
    </w:p>
    <w:p w14:paraId="77FC29EB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14.</w:t>
      </w:r>
      <w:r w:rsidRPr="006232C2">
        <w:rPr>
          <w:lang w:val="uk-UA"/>
        </w:rPr>
        <w:tab/>
        <w:t>Кваліфікаційна комісія приватних виконавців.</w:t>
      </w:r>
    </w:p>
    <w:p w14:paraId="1FE1095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15.</w:t>
      </w:r>
      <w:r w:rsidRPr="006232C2">
        <w:rPr>
          <w:lang w:val="uk-UA"/>
        </w:rPr>
        <w:tab/>
        <w:t>Допуск до складання кваліфікаційного іспиту.</w:t>
      </w:r>
    </w:p>
    <w:p w14:paraId="172F4677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16.</w:t>
      </w:r>
      <w:r w:rsidRPr="006232C2">
        <w:rPr>
          <w:lang w:val="uk-UA"/>
        </w:rPr>
        <w:tab/>
        <w:t>Кваліфікаційний іспит приватного виконавця.</w:t>
      </w:r>
    </w:p>
    <w:p w14:paraId="0BAEF523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17.</w:t>
      </w:r>
      <w:r w:rsidRPr="006232C2">
        <w:rPr>
          <w:lang w:val="uk-UA"/>
        </w:rPr>
        <w:tab/>
        <w:t>Початок здійснення діяльності приватного виконавця. Єдиний реєстр приватних виконавців України.</w:t>
      </w:r>
    </w:p>
    <w:p w14:paraId="51FEF22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18.</w:t>
      </w:r>
      <w:r w:rsidRPr="006232C2">
        <w:rPr>
          <w:lang w:val="uk-UA"/>
        </w:rPr>
        <w:tab/>
        <w:t>Виконавчі округи і територіальні межі діяльності приватного виконавця.</w:t>
      </w:r>
    </w:p>
    <w:p w14:paraId="3C9C3249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19.</w:t>
      </w:r>
      <w:r w:rsidRPr="006232C2">
        <w:rPr>
          <w:lang w:val="uk-UA"/>
        </w:rPr>
        <w:tab/>
        <w:t>Офіс приватного виконавця.</w:t>
      </w:r>
    </w:p>
    <w:p w14:paraId="4F41E0E0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20.</w:t>
      </w:r>
      <w:r w:rsidRPr="006232C2">
        <w:rPr>
          <w:lang w:val="uk-UA"/>
        </w:rPr>
        <w:tab/>
        <w:t>Особливості здійснення діяльності приватного виконавця.</w:t>
      </w:r>
    </w:p>
    <w:p w14:paraId="2D5CE0B8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21.</w:t>
      </w:r>
      <w:r w:rsidRPr="006232C2">
        <w:rPr>
          <w:lang w:val="uk-UA"/>
        </w:rPr>
        <w:tab/>
        <w:t>Правовий статус помічника приватного виконавця.</w:t>
      </w:r>
    </w:p>
    <w:p w14:paraId="5F25C989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22.</w:t>
      </w:r>
      <w:r w:rsidRPr="006232C2">
        <w:rPr>
          <w:lang w:val="uk-UA"/>
        </w:rPr>
        <w:tab/>
        <w:t>Винагорода приватного виконавця та авансування витрат виконавчого провадження.</w:t>
      </w:r>
    </w:p>
    <w:p w14:paraId="47B16CAD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23.</w:t>
      </w:r>
      <w:r w:rsidRPr="006232C2">
        <w:rPr>
          <w:lang w:val="uk-UA"/>
        </w:rPr>
        <w:tab/>
        <w:t>Контроль за діяльністю приватного виконавця.</w:t>
      </w:r>
    </w:p>
    <w:p w14:paraId="7CA315DD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24.</w:t>
      </w:r>
      <w:r w:rsidRPr="006232C2">
        <w:rPr>
          <w:lang w:val="uk-UA"/>
        </w:rPr>
        <w:tab/>
        <w:t>Дисциплінарна комісія приватних виконавців.</w:t>
      </w:r>
    </w:p>
    <w:p w14:paraId="178ACA81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25.</w:t>
      </w:r>
      <w:r w:rsidRPr="006232C2">
        <w:rPr>
          <w:lang w:val="uk-UA"/>
        </w:rPr>
        <w:tab/>
        <w:t>Розгляд питань про притягнення приватного виконавця до дисциплінарної відповідальності.</w:t>
      </w:r>
    </w:p>
    <w:p w14:paraId="42877D39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26.</w:t>
      </w:r>
      <w:r w:rsidRPr="006232C2">
        <w:rPr>
          <w:lang w:val="uk-UA"/>
        </w:rPr>
        <w:tab/>
        <w:t>Дисциплінарні стягнення, які застосовуються до приватного виконавця.</w:t>
      </w:r>
    </w:p>
    <w:p w14:paraId="62DBBCAF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27.</w:t>
      </w:r>
      <w:r w:rsidRPr="006232C2">
        <w:rPr>
          <w:lang w:val="uk-UA"/>
        </w:rPr>
        <w:tab/>
        <w:t>Зупинення діяльності приватного виконавця.</w:t>
      </w:r>
    </w:p>
    <w:p w14:paraId="22E282A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28.</w:t>
      </w:r>
      <w:r w:rsidRPr="006232C2">
        <w:rPr>
          <w:lang w:val="uk-UA"/>
        </w:rPr>
        <w:tab/>
        <w:t>Поновлення діяльності приватного виконавця.</w:t>
      </w:r>
    </w:p>
    <w:p w14:paraId="66BA3A65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29.</w:t>
      </w:r>
      <w:r w:rsidRPr="006232C2">
        <w:rPr>
          <w:lang w:val="uk-UA"/>
        </w:rPr>
        <w:tab/>
        <w:t>Припинення діяльності приватного виконавця.</w:t>
      </w:r>
    </w:p>
    <w:p w14:paraId="115F21B7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30.</w:t>
      </w:r>
      <w:r w:rsidRPr="006232C2">
        <w:rPr>
          <w:lang w:val="uk-UA"/>
        </w:rPr>
        <w:tab/>
        <w:t>Асоціація приватних виконавців України.</w:t>
      </w:r>
    </w:p>
    <w:p w14:paraId="099D27F9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31.</w:t>
      </w:r>
      <w:r w:rsidRPr="006232C2">
        <w:rPr>
          <w:lang w:val="uk-UA"/>
        </w:rPr>
        <w:tab/>
        <w:t>З’їзд приватних виконавців регіону.</w:t>
      </w:r>
    </w:p>
    <w:p w14:paraId="6D1341AA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32.</w:t>
      </w:r>
      <w:r w:rsidRPr="006232C2">
        <w:rPr>
          <w:lang w:val="uk-UA"/>
        </w:rPr>
        <w:tab/>
        <w:t>Рада приватних виконавців регіону.</w:t>
      </w:r>
    </w:p>
    <w:p w14:paraId="16CAF82B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33.</w:t>
      </w:r>
      <w:r w:rsidRPr="006232C2">
        <w:rPr>
          <w:lang w:val="uk-UA"/>
        </w:rPr>
        <w:tab/>
        <w:t>Ревізійна комісія.</w:t>
      </w:r>
    </w:p>
    <w:p w14:paraId="039F423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34.</w:t>
      </w:r>
      <w:r w:rsidRPr="006232C2">
        <w:rPr>
          <w:lang w:val="uk-UA"/>
        </w:rPr>
        <w:tab/>
        <w:t>З’їзд приватних виконавців України.</w:t>
      </w:r>
    </w:p>
    <w:p w14:paraId="0FBB30F7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35.</w:t>
      </w:r>
      <w:r w:rsidRPr="006232C2">
        <w:rPr>
          <w:lang w:val="uk-UA"/>
        </w:rPr>
        <w:tab/>
        <w:t>Рада приватних виконавців України.</w:t>
      </w:r>
    </w:p>
    <w:p w14:paraId="1B521B1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36.</w:t>
      </w:r>
      <w:r w:rsidRPr="006232C2">
        <w:rPr>
          <w:lang w:val="uk-UA"/>
        </w:rPr>
        <w:tab/>
        <w:t xml:space="preserve">Виконання рішень іншими органами та установами. </w:t>
      </w:r>
    </w:p>
    <w:p w14:paraId="37E542E1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lastRenderedPageBreak/>
        <w:t>37.</w:t>
      </w:r>
      <w:r w:rsidRPr="006232C2">
        <w:rPr>
          <w:lang w:val="uk-UA"/>
        </w:rPr>
        <w:tab/>
        <w:t xml:space="preserve"> Учасники виконавчого провадження, їх права та обов’язки. </w:t>
      </w:r>
    </w:p>
    <w:p w14:paraId="7143743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38.</w:t>
      </w:r>
      <w:r w:rsidRPr="006232C2">
        <w:rPr>
          <w:lang w:val="uk-UA"/>
        </w:rPr>
        <w:tab/>
        <w:t>Сторони виконавчого провадження.</w:t>
      </w:r>
    </w:p>
    <w:p w14:paraId="43CDA6CA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39.</w:t>
      </w:r>
      <w:r w:rsidRPr="006232C2">
        <w:rPr>
          <w:lang w:val="uk-UA"/>
        </w:rPr>
        <w:tab/>
        <w:t xml:space="preserve">Представництво сторін у виконавчому провадженні. </w:t>
      </w:r>
    </w:p>
    <w:p w14:paraId="43845A57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40.</w:t>
      </w:r>
      <w:r w:rsidRPr="006232C2">
        <w:rPr>
          <w:lang w:val="uk-UA"/>
        </w:rPr>
        <w:tab/>
        <w:t>Обов’язки і права виконавців, обов’язковість вимог виконавців.</w:t>
      </w:r>
    </w:p>
    <w:p w14:paraId="478A95F8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41.</w:t>
      </w:r>
      <w:r w:rsidRPr="006232C2">
        <w:rPr>
          <w:lang w:val="uk-UA"/>
        </w:rPr>
        <w:tab/>
        <w:t>Права і обов’язки сторін та інших учасників виконавчого провадження.</w:t>
      </w:r>
    </w:p>
    <w:p w14:paraId="2AA8272F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42.</w:t>
      </w:r>
      <w:r w:rsidRPr="006232C2">
        <w:rPr>
          <w:lang w:val="uk-UA"/>
        </w:rPr>
        <w:tab/>
        <w:t>Участь експерта, спеціаліста та суб’єкта оціночної діяльності – суб’єкта господарювання у виконавчому провадженні.</w:t>
      </w:r>
    </w:p>
    <w:p w14:paraId="0FF3F29F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43.</w:t>
      </w:r>
      <w:r w:rsidRPr="006232C2">
        <w:rPr>
          <w:lang w:val="uk-UA"/>
        </w:rPr>
        <w:tab/>
        <w:t>Участь перекладача у виконавчому провадженні.</w:t>
      </w:r>
    </w:p>
    <w:p w14:paraId="1CAF6840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44.</w:t>
      </w:r>
      <w:r w:rsidRPr="006232C2">
        <w:rPr>
          <w:lang w:val="uk-UA"/>
        </w:rPr>
        <w:tab/>
        <w:t>Залучення понятих у виконавчому провадженні.</w:t>
      </w:r>
    </w:p>
    <w:p w14:paraId="103F125B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45.</w:t>
      </w:r>
      <w:r w:rsidRPr="006232C2">
        <w:rPr>
          <w:lang w:val="uk-UA"/>
        </w:rPr>
        <w:tab/>
        <w:t>Відводи у виконавчому провадженні.</w:t>
      </w:r>
    </w:p>
    <w:p w14:paraId="5EAFDBE3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46.</w:t>
      </w:r>
      <w:r w:rsidRPr="006232C2">
        <w:rPr>
          <w:lang w:val="uk-UA"/>
        </w:rPr>
        <w:tab/>
        <w:t>Місце виконання рішення.</w:t>
      </w:r>
    </w:p>
    <w:p w14:paraId="1B938176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47.</w:t>
      </w:r>
      <w:r w:rsidRPr="006232C2">
        <w:rPr>
          <w:lang w:val="uk-UA"/>
        </w:rPr>
        <w:tab/>
        <w:t>Особливості підвідомчості виконавчих проваджень органам державної виконавчої служби та утворення виконавчих груп.</w:t>
      </w:r>
    </w:p>
    <w:p w14:paraId="04DA5839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48.</w:t>
      </w:r>
      <w:r w:rsidRPr="006232C2">
        <w:rPr>
          <w:lang w:val="uk-UA"/>
        </w:rPr>
        <w:tab/>
        <w:t xml:space="preserve">Право на звернення до виконання рішення. </w:t>
      </w:r>
    </w:p>
    <w:p w14:paraId="477739B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49.</w:t>
      </w:r>
      <w:r w:rsidRPr="006232C2">
        <w:rPr>
          <w:lang w:val="uk-UA"/>
        </w:rPr>
        <w:tab/>
        <w:t xml:space="preserve">Підстави для відкриття виконавчого провадження. </w:t>
      </w:r>
    </w:p>
    <w:p w14:paraId="43ED94AB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50.</w:t>
      </w:r>
      <w:r w:rsidRPr="006232C2">
        <w:rPr>
          <w:lang w:val="uk-UA"/>
        </w:rPr>
        <w:tab/>
        <w:t xml:space="preserve">Початок примусового виконання рішення. </w:t>
      </w:r>
    </w:p>
    <w:p w14:paraId="0C6D3BA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51.</w:t>
      </w:r>
      <w:r w:rsidRPr="006232C2">
        <w:rPr>
          <w:lang w:val="uk-UA"/>
        </w:rPr>
        <w:tab/>
        <w:t xml:space="preserve">Виконавчий збір. </w:t>
      </w:r>
    </w:p>
    <w:p w14:paraId="5595BC0C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52.</w:t>
      </w:r>
      <w:r w:rsidRPr="006232C2">
        <w:rPr>
          <w:lang w:val="uk-UA"/>
        </w:rPr>
        <w:tab/>
        <w:t>Надсилання документів виконавчого провадження.</w:t>
      </w:r>
    </w:p>
    <w:p w14:paraId="6C5BFE69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53.</w:t>
      </w:r>
      <w:r w:rsidRPr="006232C2">
        <w:rPr>
          <w:lang w:val="uk-UA"/>
        </w:rPr>
        <w:tab/>
        <w:t>Час проведення виконавчих дій.</w:t>
      </w:r>
    </w:p>
    <w:p w14:paraId="203BEB1F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54.</w:t>
      </w:r>
      <w:r w:rsidRPr="006232C2">
        <w:rPr>
          <w:lang w:val="uk-UA"/>
        </w:rPr>
        <w:tab/>
        <w:t xml:space="preserve">Ускладнення під час виконавчого провадження. </w:t>
      </w:r>
    </w:p>
    <w:p w14:paraId="35B7CA2C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55.</w:t>
      </w:r>
      <w:r w:rsidRPr="006232C2">
        <w:rPr>
          <w:lang w:val="uk-UA"/>
        </w:rPr>
        <w:tab/>
        <w:t>Відстрочка або розстрочка виконання, встановлення чи зміна способу і порядку виконання рішення.</w:t>
      </w:r>
    </w:p>
    <w:p w14:paraId="66D3BF8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56.</w:t>
      </w:r>
      <w:r w:rsidRPr="006232C2">
        <w:rPr>
          <w:lang w:val="uk-UA"/>
        </w:rPr>
        <w:tab/>
        <w:t>Зупинення вчинення виконавчих дій.</w:t>
      </w:r>
    </w:p>
    <w:p w14:paraId="64671A5F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57.</w:t>
      </w:r>
      <w:r w:rsidRPr="006232C2">
        <w:rPr>
          <w:lang w:val="uk-UA"/>
        </w:rPr>
        <w:tab/>
        <w:t>Розшук боржника, його майна, розшук дитини за виконавчим документом про відібрання дитини.</w:t>
      </w:r>
    </w:p>
    <w:p w14:paraId="626B8C2C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58.</w:t>
      </w:r>
      <w:r w:rsidRPr="006232C2">
        <w:rPr>
          <w:lang w:val="uk-UA"/>
        </w:rPr>
        <w:tab/>
        <w:t>Підстави повернення виконавчого документа стягувачу або до суду, який його видав.</w:t>
      </w:r>
    </w:p>
    <w:p w14:paraId="52ED4FC5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59.</w:t>
      </w:r>
      <w:r w:rsidRPr="006232C2">
        <w:rPr>
          <w:lang w:val="uk-UA"/>
        </w:rPr>
        <w:tab/>
        <w:t xml:space="preserve">Закінчення та відновлення виконавчого провадження. </w:t>
      </w:r>
    </w:p>
    <w:p w14:paraId="751A25F5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60.</w:t>
      </w:r>
      <w:r w:rsidRPr="006232C2">
        <w:rPr>
          <w:lang w:val="uk-UA"/>
        </w:rPr>
        <w:tab/>
        <w:t>Наслідки закінчення виконавчого провадження, повернення виконавчого провадження.</w:t>
      </w:r>
    </w:p>
    <w:p w14:paraId="072F2FB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61.</w:t>
      </w:r>
      <w:r w:rsidRPr="006232C2">
        <w:rPr>
          <w:lang w:val="uk-UA"/>
        </w:rPr>
        <w:tab/>
        <w:t xml:space="preserve">Кошти виконавчого провадження. </w:t>
      </w:r>
    </w:p>
    <w:p w14:paraId="3845BE1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62.</w:t>
      </w:r>
      <w:r w:rsidRPr="006232C2">
        <w:rPr>
          <w:lang w:val="uk-UA"/>
        </w:rPr>
        <w:tab/>
        <w:t xml:space="preserve">Додаткове авансування витрат виконавчого провадження. </w:t>
      </w:r>
    </w:p>
    <w:p w14:paraId="66997C6C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63.</w:t>
      </w:r>
      <w:r w:rsidRPr="006232C2">
        <w:rPr>
          <w:lang w:val="uk-UA"/>
        </w:rPr>
        <w:tab/>
        <w:t xml:space="preserve">Облік сум на рахунках органів державної виконавчої служби та приватних виконавців. </w:t>
      </w:r>
    </w:p>
    <w:p w14:paraId="29472ACE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64.</w:t>
      </w:r>
      <w:r w:rsidRPr="006232C2">
        <w:rPr>
          <w:lang w:val="uk-UA"/>
        </w:rPr>
        <w:tab/>
        <w:t xml:space="preserve"> Розподіл стягнутих з боржника грошових сум. </w:t>
      </w:r>
    </w:p>
    <w:p w14:paraId="2A41E61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65.</w:t>
      </w:r>
      <w:r w:rsidRPr="006232C2">
        <w:rPr>
          <w:lang w:val="uk-UA"/>
        </w:rPr>
        <w:tab/>
        <w:t xml:space="preserve">Черговість задоволення вимог стягувачів у разі недостатності стягнутої суми для задоволення вимог стягувачів. </w:t>
      </w:r>
    </w:p>
    <w:p w14:paraId="3D241416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66.</w:t>
      </w:r>
      <w:r w:rsidRPr="006232C2">
        <w:rPr>
          <w:lang w:val="uk-UA"/>
        </w:rPr>
        <w:tab/>
        <w:t>Порядок виплати стягнутих з боржника грошових сум.</w:t>
      </w:r>
    </w:p>
    <w:p w14:paraId="2C2357C6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67.</w:t>
      </w:r>
      <w:r w:rsidRPr="006232C2">
        <w:rPr>
          <w:lang w:val="uk-UA"/>
        </w:rPr>
        <w:tab/>
        <w:t xml:space="preserve">Порядок звернення стягнення на кошти та інше майно боржника. </w:t>
      </w:r>
    </w:p>
    <w:p w14:paraId="62EB2137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68.</w:t>
      </w:r>
      <w:r w:rsidRPr="006232C2">
        <w:rPr>
          <w:lang w:val="uk-UA"/>
        </w:rPr>
        <w:tab/>
        <w:t>Особливості звернення стягнення на кошти боржника в іноземній валюті та виконання рішень під час обчислення боргу в іноземній валюті.</w:t>
      </w:r>
    </w:p>
    <w:p w14:paraId="71663676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69.</w:t>
      </w:r>
      <w:r w:rsidRPr="006232C2">
        <w:rPr>
          <w:lang w:val="uk-UA"/>
        </w:rPr>
        <w:tab/>
        <w:t xml:space="preserve"> Звернення стягнення на об’єкти нерухомого майна фізичної особи. </w:t>
      </w:r>
    </w:p>
    <w:p w14:paraId="794433E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70.</w:t>
      </w:r>
      <w:r w:rsidRPr="006232C2">
        <w:rPr>
          <w:lang w:val="uk-UA"/>
        </w:rPr>
        <w:tab/>
        <w:t xml:space="preserve">Звернення стягнення на заставлене майно. </w:t>
      </w:r>
    </w:p>
    <w:p w14:paraId="4887A8BD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71.</w:t>
      </w:r>
      <w:r w:rsidRPr="006232C2">
        <w:rPr>
          <w:lang w:val="uk-UA"/>
        </w:rPr>
        <w:tab/>
        <w:t xml:space="preserve">Звернення стягнення на майно боржника, що перебуває в інших осіб. </w:t>
      </w:r>
    </w:p>
    <w:p w14:paraId="17613EB1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lastRenderedPageBreak/>
        <w:t>72.</w:t>
      </w:r>
      <w:r w:rsidRPr="006232C2">
        <w:rPr>
          <w:lang w:val="uk-UA"/>
        </w:rPr>
        <w:tab/>
        <w:t>Порядок виявлення дебіторської заборгованості боржника – юридичної особи, фізичної особи – підприємця.</w:t>
      </w:r>
    </w:p>
    <w:p w14:paraId="08AED296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73.</w:t>
      </w:r>
      <w:r w:rsidRPr="006232C2">
        <w:rPr>
          <w:lang w:val="uk-UA"/>
        </w:rPr>
        <w:tab/>
        <w:t xml:space="preserve"> Майно, на яке не може бути звернено стягнення. </w:t>
      </w:r>
    </w:p>
    <w:p w14:paraId="35D18681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74.</w:t>
      </w:r>
      <w:r w:rsidRPr="006232C2">
        <w:rPr>
          <w:lang w:val="uk-UA"/>
        </w:rPr>
        <w:tab/>
        <w:t xml:space="preserve">Арешт і вилучення майна (коштів) боржника. </w:t>
      </w:r>
    </w:p>
    <w:p w14:paraId="4221DDAD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75.</w:t>
      </w:r>
      <w:r w:rsidRPr="006232C2">
        <w:rPr>
          <w:lang w:val="uk-UA"/>
        </w:rPr>
        <w:tab/>
        <w:t xml:space="preserve">Визначення вартості майна боржника. Оцінка майна боржника. </w:t>
      </w:r>
    </w:p>
    <w:p w14:paraId="2842156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76.</w:t>
      </w:r>
      <w:r w:rsidRPr="006232C2">
        <w:rPr>
          <w:lang w:val="uk-UA"/>
        </w:rPr>
        <w:tab/>
        <w:t xml:space="preserve">Зберігання майна, на яке накладено арешт. </w:t>
      </w:r>
    </w:p>
    <w:p w14:paraId="0A3B1AC9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77.</w:t>
      </w:r>
      <w:r w:rsidRPr="006232C2">
        <w:rPr>
          <w:lang w:val="uk-UA"/>
        </w:rPr>
        <w:tab/>
        <w:t xml:space="preserve">Зняття арешту з майна. </w:t>
      </w:r>
    </w:p>
    <w:p w14:paraId="187F3DC1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78.</w:t>
      </w:r>
      <w:r w:rsidRPr="006232C2">
        <w:rPr>
          <w:lang w:val="uk-UA"/>
        </w:rPr>
        <w:tab/>
        <w:t>Передача стягувачу предметів, зазначених у виконавчому документі.</w:t>
      </w:r>
    </w:p>
    <w:p w14:paraId="6470D972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79.</w:t>
      </w:r>
      <w:r w:rsidRPr="006232C2">
        <w:rPr>
          <w:lang w:val="uk-UA"/>
        </w:rPr>
        <w:tab/>
        <w:t xml:space="preserve"> Реалізація майна, на яке звернено стягнення. </w:t>
      </w:r>
    </w:p>
    <w:p w14:paraId="5852DD6E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80.</w:t>
      </w:r>
      <w:r w:rsidRPr="006232C2">
        <w:rPr>
          <w:lang w:val="uk-UA"/>
        </w:rPr>
        <w:tab/>
        <w:t>Виконання рішень про конфіскацію майна.</w:t>
      </w:r>
    </w:p>
    <w:p w14:paraId="7E0597D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81.</w:t>
      </w:r>
      <w:r w:rsidRPr="006232C2">
        <w:rPr>
          <w:lang w:val="uk-UA"/>
        </w:rPr>
        <w:tab/>
        <w:t>Порядок виконання рішень, за якими боржник зобов’язаний вчинити певні дії або утриматися від їх вчинення.</w:t>
      </w:r>
    </w:p>
    <w:p w14:paraId="379E9C2C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82.</w:t>
      </w:r>
      <w:r w:rsidRPr="006232C2">
        <w:rPr>
          <w:lang w:val="uk-UA"/>
        </w:rPr>
        <w:tab/>
        <w:t xml:space="preserve"> Виконання рішення про відібрання дитини. </w:t>
      </w:r>
    </w:p>
    <w:p w14:paraId="5ADA1D13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83.</w:t>
      </w:r>
      <w:r w:rsidRPr="006232C2">
        <w:rPr>
          <w:lang w:val="uk-UA"/>
        </w:rPr>
        <w:tab/>
        <w:t xml:space="preserve">Виконання рішення про поновлення на роботі. </w:t>
      </w:r>
    </w:p>
    <w:p w14:paraId="7C9A3A9D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84.</w:t>
      </w:r>
      <w:r w:rsidRPr="006232C2">
        <w:rPr>
          <w:lang w:val="uk-UA"/>
        </w:rPr>
        <w:tab/>
        <w:t xml:space="preserve">Виконання рішення про виселення боржника. </w:t>
      </w:r>
    </w:p>
    <w:p w14:paraId="43C79BA3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85.</w:t>
      </w:r>
      <w:r w:rsidRPr="006232C2">
        <w:rPr>
          <w:lang w:val="uk-UA"/>
        </w:rPr>
        <w:tab/>
        <w:t>Виконання рішення про вселення стягувача.</w:t>
      </w:r>
    </w:p>
    <w:p w14:paraId="5BAA86C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86.</w:t>
      </w:r>
      <w:r w:rsidRPr="006232C2">
        <w:rPr>
          <w:lang w:val="uk-UA"/>
        </w:rPr>
        <w:tab/>
        <w:t xml:space="preserve"> Виконання рішень стосовно іноземців, осіб без громадянства та іноземних юридичних осіб. </w:t>
      </w:r>
    </w:p>
    <w:p w14:paraId="38010324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87.</w:t>
      </w:r>
      <w:r w:rsidRPr="006232C2">
        <w:rPr>
          <w:lang w:val="uk-UA"/>
        </w:rPr>
        <w:tab/>
        <w:t>Виконання рішень стосовно іноземців, осіб без громадянства та іноземних юридичних осіб. Виконання рішень іноземних судів.</w:t>
      </w:r>
    </w:p>
    <w:p w14:paraId="19E2522C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88.</w:t>
      </w:r>
      <w:r w:rsidRPr="006232C2">
        <w:rPr>
          <w:lang w:val="uk-UA"/>
        </w:rPr>
        <w:tab/>
        <w:t xml:space="preserve">Умови звернення стягнення на заробітну плату, пенсію, стипендію та інші доходи боржника. </w:t>
      </w:r>
    </w:p>
    <w:p w14:paraId="1A773083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89.</w:t>
      </w:r>
      <w:r w:rsidRPr="006232C2">
        <w:rPr>
          <w:lang w:val="uk-UA"/>
        </w:rPr>
        <w:tab/>
        <w:t xml:space="preserve">Відрахування із заробітної плати, пенсії, стипендії та інших доходів боржника. </w:t>
      </w:r>
    </w:p>
    <w:p w14:paraId="698CD2DA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90.</w:t>
      </w:r>
      <w:r w:rsidRPr="006232C2">
        <w:rPr>
          <w:lang w:val="uk-UA"/>
        </w:rPr>
        <w:tab/>
        <w:t xml:space="preserve">Розмір відрахувань із заробітної плати, пенсії, стипендії та інших доходів боржника. </w:t>
      </w:r>
    </w:p>
    <w:p w14:paraId="5A81D70D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91.</w:t>
      </w:r>
      <w:r w:rsidRPr="006232C2">
        <w:rPr>
          <w:lang w:val="uk-UA"/>
        </w:rPr>
        <w:tab/>
        <w:t xml:space="preserve">Порядок стягнення аліментів. </w:t>
      </w:r>
    </w:p>
    <w:p w14:paraId="4223F01B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92.</w:t>
      </w:r>
      <w:r w:rsidRPr="006232C2">
        <w:rPr>
          <w:lang w:val="uk-UA"/>
        </w:rPr>
        <w:tab/>
        <w:t xml:space="preserve">Звернення стягнення на допомогу з державного соціального страхування та соціальну допомогу інвалідам з дитинства. </w:t>
      </w:r>
    </w:p>
    <w:p w14:paraId="77BF023D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93.</w:t>
      </w:r>
      <w:r w:rsidRPr="006232C2">
        <w:rPr>
          <w:lang w:val="uk-UA"/>
        </w:rPr>
        <w:tab/>
        <w:t>Кошти, на які не може бути звернено стягнення.</w:t>
      </w:r>
    </w:p>
    <w:p w14:paraId="75C5D478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94.</w:t>
      </w:r>
      <w:r w:rsidRPr="006232C2">
        <w:rPr>
          <w:lang w:val="uk-UA"/>
        </w:rPr>
        <w:tab/>
        <w:t xml:space="preserve">  Оскарження рішень, дій або бездіяльності виконавців та посадових осіб органів державної виконавчої служби.</w:t>
      </w:r>
    </w:p>
    <w:p w14:paraId="4174F89A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95.</w:t>
      </w:r>
      <w:r w:rsidRPr="006232C2">
        <w:rPr>
          <w:lang w:val="uk-UA"/>
        </w:rPr>
        <w:tab/>
        <w:t xml:space="preserve"> Відповідальність за невиконання рішення, що зобов’язує боржника вчинити певні дії, та рішення про поновлення на роботі. </w:t>
      </w:r>
    </w:p>
    <w:p w14:paraId="3F721346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  <w:r w:rsidRPr="006232C2">
        <w:rPr>
          <w:lang w:val="uk-UA"/>
        </w:rPr>
        <w:t>96.</w:t>
      </w:r>
      <w:r w:rsidRPr="006232C2">
        <w:rPr>
          <w:lang w:val="uk-UA"/>
        </w:rPr>
        <w:tab/>
        <w:t>Відповідальність за невиконання законних вимог виконавця та порушення вимог Закону України «Про виконавче провадження».</w:t>
      </w:r>
    </w:p>
    <w:p w14:paraId="165A2A6A" w14:textId="77777777" w:rsidR="006232C2" w:rsidRPr="006232C2" w:rsidRDefault="006232C2" w:rsidP="006232C2">
      <w:pPr>
        <w:spacing w:after="0" w:line="240" w:lineRule="auto"/>
        <w:jc w:val="both"/>
        <w:rPr>
          <w:lang w:val="uk-UA"/>
        </w:rPr>
      </w:pPr>
    </w:p>
    <w:p w14:paraId="4A34F6FA" w14:textId="77777777" w:rsidR="007843E9" w:rsidRPr="006232C2" w:rsidRDefault="007843E9" w:rsidP="006232C2">
      <w:pPr>
        <w:spacing w:after="0" w:line="240" w:lineRule="auto"/>
        <w:jc w:val="both"/>
        <w:rPr>
          <w:lang w:val="uk-UA"/>
        </w:rPr>
      </w:pPr>
    </w:p>
    <w:sectPr w:rsidR="007843E9" w:rsidRPr="006232C2" w:rsidSect="00521349">
      <w:pgSz w:w="11904" w:h="16838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C2"/>
    <w:rsid w:val="00521349"/>
    <w:rsid w:val="006232C2"/>
    <w:rsid w:val="007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7A37"/>
  <w15:chartTrackingRefBased/>
  <w15:docId w15:val="{288270B6-9AC5-4A10-A42F-DB23751D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1</cp:revision>
  <dcterms:created xsi:type="dcterms:W3CDTF">2020-11-05T02:45:00Z</dcterms:created>
  <dcterms:modified xsi:type="dcterms:W3CDTF">2020-11-05T02:48:00Z</dcterms:modified>
</cp:coreProperties>
</file>