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DB" w:rsidRPr="00A009DB" w:rsidRDefault="00A009DB" w:rsidP="00A009DB">
      <w:pPr>
        <w:keepNext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A009D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Глосарій</w:t>
      </w:r>
    </w:p>
    <w:p w:rsidR="00A009DB" w:rsidRPr="00A009DB" w:rsidRDefault="00A009DB" w:rsidP="00A009DB">
      <w:pPr>
        <w:tabs>
          <w:tab w:val="left" w:pos="2030"/>
          <w:tab w:val="left" w:pos="10065"/>
        </w:tabs>
        <w:spacing w:after="0" w:line="36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(термінологічний словник)</w:t>
      </w:r>
    </w:p>
    <w:p w:rsidR="00A009DB" w:rsidRPr="00A009DB" w:rsidRDefault="00A009DB" w:rsidP="00A009DB">
      <w:pPr>
        <w:tabs>
          <w:tab w:val="left" w:pos="2030"/>
          <w:tab w:val="left" w:pos="10065"/>
        </w:tabs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16"/>
          <w:szCs w:val="16"/>
        </w:rPr>
      </w:pP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bookmarkStart w:id="0" w:name="якість_продукту"/>
      <w:proofErr w:type="spellStart"/>
      <w:r w:rsidRPr="00A009D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-RU"/>
        </w:rPr>
        <w:t>Якість</w:t>
      </w:r>
      <w:proofErr w:type="spellEnd"/>
      <w:r w:rsidRPr="00A009D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-RU"/>
        </w:rPr>
        <w:t xml:space="preserve"> продукту</w:t>
      </w:r>
      <w:bookmarkEnd w:id="0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—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ступінь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відповідності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продукції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вста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softHyphen/>
        <w:t>новленим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неї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вимогам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відповідності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призначенням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Вона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характеризує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досконалість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технології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.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Якість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quality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) –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сукупність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характеристик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об'єкта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стосуються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здатності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задовольняти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встановлені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передбачувані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потреби.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ТУ, технічні умови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specifications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документ, що встановлює технічні вимоги, яким повинні відповідати продукція, процеси чи послуги. </w:t>
      </w:r>
      <w:proofErr w:type="spellStart"/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Техн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ічні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умови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можуть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бути стандартом,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частиною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стандарту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окремим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документом. </w:t>
      </w:r>
      <w:proofErr w:type="spellStart"/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Техн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ічні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умови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містять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вимоги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регулюють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відносини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постачальником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розробником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виготівником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) і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споживачем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замовником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продукції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TQC</w:t>
      </w: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total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quality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control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системний </w:t>
      </w:r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>п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ідхід до управління якістю, запропонований А.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>Фейгенбаумом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>, у межах якого область управління якістю поширюється на всі стадії створення продукту (етапи життєвого циклу) та охоплює всі рівні управлінської ієрархії за реалізації технічних, економічних, організаційних і соціально-психологічних заходів, що відображається у відповідних документах системи управління якістю. У Японії концепція Т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Q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>С трансформувалась у Всебічний контроль якості (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CWQC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Company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Wide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Qaulity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Control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>), що базувався на статистичному контролі якості (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SQC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Statistical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Quality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Control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), і це підкреслювало акцент на застосування статистичних методів і залучення персоналу до роботи в «гуртках якості» (англ. –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Quality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Circles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TQM</w:t>
      </w: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total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quality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management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це концепція управління організацією, котра передбачає загальне цілеспрямоване та добре скоординоване застосування систем і методів управління якістю в усіх сферах діяльності – від </w:t>
      </w:r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>досл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іджень до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>післяпродажного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обслуговування – за участі керівництва та співробітників усіх рівнів та за раціонального використання технічних можливостей.</w:t>
      </w:r>
    </w:p>
    <w:p w:rsid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Система якості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quality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system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сукупність організаційної структури, методик, процесів і ресурсів, необхідних для здійснення управління якістю.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Процес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process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сукупність взаємопов’язаних видів діяльності, у межах яких відбувається перетворення входів у виходи; на вході використовується один чи більше ресурсів, на виході створюється продукт, що має цінність для споживача.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Петля якості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loop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quality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це концептуальна модель взаємозалежних видів діяльності, що впливають на якість на різних стадіях від визначення потреб до оцінювання ступеня їх задоволення; являє собою модель впливу системи якості на процес створення продукції або надання послуг шляхом послідовної реалізації функцій адміністративного та оперативного управління підприємством.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Рівень якості продукції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level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of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product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quality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 – узагальнене співвідношення показників якості продукції оцінюваного товару і аналогічного, який вибраний як базовий для порівняння.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Статистика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statistics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наука, яка вивчає методи кількісного охоплення і дослідження масових, зокрема суспільних, явищ і процесів.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Збирання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про них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сягає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найдавніших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часів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Вона мала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спершу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наскрізь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практичний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характер; з 19 ст. статистика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поступово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здобуває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солідну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наукову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основу, коли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почалося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впорядкування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вдосконалення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статистичних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методів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них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розвинулися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дві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основні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описова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дескриптивна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) –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збирання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інформацій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перевірка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їхньої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їхня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інтерпретація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зображення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статистичного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матеріалу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; та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індуктивна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застосування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теорії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ймовірності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закону великих чисел. Статистика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поділяється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своїм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змістом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демографічну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економічну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фінансову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іальну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санітарну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судову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біологічну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технічну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тощо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математична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статистика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вивчає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математичні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методи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систематизації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обробки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й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статистичних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даних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наукових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практичних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висновків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Дисперсія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variance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центральний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момент другого порядку є </w:t>
      </w:r>
      <w:proofErr w:type="spellStart"/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ірою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відхилення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значень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випадкової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величини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середнього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Більші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значення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дисперсії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св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ідчать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більші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відхилення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значень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випадкової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величини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середнього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дисперсія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дорівнює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0, то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всі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реалізації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випадкової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величини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знаходяться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одній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точці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Суцільний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 xml:space="preserve"> контроль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continuous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control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– контроль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кожної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одиниці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продукції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Систематична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похибка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systematic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error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) –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складова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похибки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залишається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постійною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монотонно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змінюється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часі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однієї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тієї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ж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величини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яка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оцінюється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при тих самих параметрах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зовнішнього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середовища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Вибірка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sample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множина випадків (об'єктів, подій, зразків), за допомогою певної процедури вибраних зі статистичної популяції для участі в дослідженні.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Зазвичай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розміри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популяції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дуже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великі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робить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прийняття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уваги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всіх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популяції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непрактичним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неможливим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Вибірка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являє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собою </w:t>
      </w:r>
      <w:proofErr w:type="spellStart"/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ідмножину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певного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розміру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члени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якої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збираються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статистичні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дані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обчислюються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таким чином,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результаті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зробити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висновки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екстраполяцію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вибірки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на всю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популяцію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Обсяг вибірки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sample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size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число випадків, включених у вибіркову сукупність.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статистичних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міркувань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рекомендується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щоб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число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випадків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складало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менше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30–35.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Стандартне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відхилення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standard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deviation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інколи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середньоквадратичне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відхилення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– у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теорії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ймовірності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статистиці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найбільш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поширений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показник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розсіювання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значень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випадкової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величини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88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відносно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математичного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сподівання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Вимірюється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одиницях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самої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випадкової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величини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Дорівнює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кореню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квадратному з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дисперсії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випадкової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величини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Нормативний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 xml:space="preserve"> документ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regulatory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document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документ,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встановлює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правила,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загальні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принципи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характеристики </w:t>
      </w:r>
      <w:proofErr w:type="spellStart"/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ізних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видів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результатів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Цей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термін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охоплює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такі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поняття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як стандарт, кодекс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усталеної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практики,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технічні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умови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технічний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регламент та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.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Стандарт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standard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документ,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встановлює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загального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багаторазового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застосування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правила,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загальні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принципи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характерис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- тики,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стосуються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результатів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з метою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досягнення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оптимального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ступеня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впорядкованості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певній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галузі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розроблений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встановленому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порядку на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основі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консенсусу. (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Наприклад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стандарти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будівельної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продукції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легкої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промисловості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харчової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і т.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.) </w:t>
      </w: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 xml:space="preserve">Кодекс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усталеної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 xml:space="preserve"> практики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code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of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practice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– документ,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містить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практичні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правила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процедури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проектування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монтажу, </w:t>
      </w:r>
      <w:proofErr w:type="spellStart"/>
      <w:proofErr w:type="gram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техн</w:t>
      </w:r>
      <w:proofErr w:type="gram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ічного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обслуговування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експлуатації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обладнання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конструкцій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виробів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. Кодекс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усталеної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практики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може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бути стандартом,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частиною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стандарту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окремим</w:t>
      </w:r>
      <w:proofErr w:type="spellEnd"/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документом.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Міжнародна стандартизація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international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standardization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це стандартизація, що проводиться на міжнародному рівні, участь у якій відкрита для відповідних органів усіх країн.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Регіональна стандартизація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regional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standardization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стандартизація, що проводиться на відповідному регіональному рівні та участь у якій відкрита для відповідних органів країн певного географічного або економічного простору. </w:t>
      </w:r>
    </w:p>
    <w:p w:rsidR="00A009DB" w:rsidRPr="00A009DB" w:rsidRDefault="00A009DB" w:rsidP="00A009D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Національна стандартизація (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national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standardization</w:t>
      </w:r>
      <w:proofErr w:type="spellEnd"/>
      <w:r w:rsidRPr="00A009D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)</w:t>
      </w:r>
      <w:r w:rsidRPr="00A009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стандартизація, що проводиться на рівні однієї країни</w:t>
      </w:r>
    </w:p>
    <w:p w:rsidR="00A009DB" w:rsidRPr="00A009DB" w:rsidRDefault="00A009DB" w:rsidP="00A009DB">
      <w:pPr>
        <w:tabs>
          <w:tab w:val="left" w:pos="2030"/>
          <w:tab w:val="left" w:pos="10065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0B0258" w:rsidRPr="00A009DB" w:rsidRDefault="000B0258" w:rsidP="00A009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258" w:rsidRPr="00A009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DB"/>
    <w:rsid w:val="000B0258"/>
    <w:rsid w:val="00A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4285</Words>
  <Characters>2443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Глосарій</vt:lpstr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2020-11-14T11:28:00Z</dcterms:created>
  <dcterms:modified xsi:type="dcterms:W3CDTF">2020-11-14T11:28:00Z</dcterms:modified>
</cp:coreProperties>
</file>