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FB" w:rsidRPr="00A90BFB" w:rsidRDefault="00A90BFB" w:rsidP="00A90BF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>Лекція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>5</w:t>
      </w:r>
    </w:p>
    <w:p w:rsidR="00A90BFB" w:rsidRDefault="00A90BFB" w:rsidP="00A90BF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</w:pPr>
    </w:p>
    <w:p w:rsidR="00A90BFB" w:rsidRPr="00A90BFB" w:rsidRDefault="00A90BFB" w:rsidP="00A90BF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 xml:space="preserve">Тема: </w:t>
      </w:r>
      <w:r w:rsidRPr="00A90BF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>Вплив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>середовища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>спадковості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>людину</w:t>
      </w:r>
    </w:p>
    <w:p w:rsidR="00A90BFB" w:rsidRDefault="00A90BFB" w:rsidP="00A90BF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</w:pPr>
    </w:p>
    <w:p w:rsidR="00A90BFB" w:rsidRPr="00A90BFB" w:rsidRDefault="00A90BFB" w:rsidP="00A90B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90BFB"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:rsidR="00A90BFB" w:rsidRPr="00A90BFB" w:rsidRDefault="00A90BFB" w:rsidP="00A90BFB">
      <w:pPr>
        <w:pStyle w:val="2"/>
        <w:numPr>
          <w:ilvl w:val="0"/>
          <w:numId w:val="4"/>
        </w:numPr>
        <w:spacing w:before="0" w:line="240" w:lineRule="auto"/>
        <w:ind w:left="993" w:hanging="426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</w:pPr>
      <w:r w:rsidRPr="00A90BFB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>Теорії</w:t>
      </w:r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>вплив</w:t>
      </w:r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>середовища</w:t>
      </w:r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>спадковості</w:t>
      </w:r>
    </w:p>
    <w:p w:rsidR="00A90BFB" w:rsidRPr="00A90BFB" w:rsidRDefault="00A90BFB" w:rsidP="00A90BFB">
      <w:pPr>
        <w:pStyle w:val="1"/>
        <w:numPr>
          <w:ilvl w:val="0"/>
          <w:numId w:val="4"/>
        </w:numPr>
        <w:spacing w:before="0" w:beforeAutospacing="0" w:after="0" w:afterAutospacing="0"/>
        <w:ind w:left="993" w:hanging="426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A90BFB">
        <w:rPr>
          <w:b w:val="0"/>
          <w:bCs w:val="0"/>
          <w:color w:val="222222"/>
          <w:sz w:val="28"/>
          <w:szCs w:val="28"/>
          <w:lang w:val="uk-UA"/>
        </w:rPr>
        <w:t>Трактування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b w:val="0"/>
          <w:bCs w:val="0"/>
          <w:color w:val="222222"/>
          <w:sz w:val="28"/>
          <w:szCs w:val="28"/>
          <w:lang w:val="uk-UA"/>
        </w:rPr>
        <w:t>спадковості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b w:val="0"/>
          <w:bCs w:val="0"/>
          <w:color w:val="222222"/>
          <w:sz w:val="28"/>
          <w:szCs w:val="28"/>
          <w:lang w:val="uk-UA"/>
        </w:rPr>
        <w:t>і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b w:val="0"/>
          <w:bCs w:val="0"/>
          <w:color w:val="222222"/>
          <w:sz w:val="28"/>
          <w:szCs w:val="28"/>
          <w:lang w:val="uk-UA"/>
        </w:rPr>
        <w:t>середовища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b w:val="0"/>
          <w:bCs w:val="0"/>
          <w:color w:val="222222"/>
          <w:sz w:val="28"/>
          <w:szCs w:val="28"/>
          <w:lang w:val="uk-UA"/>
        </w:rPr>
        <w:t>у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b w:val="0"/>
          <w:bCs w:val="0"/>
          <w:color w:val="222222"/>
          <w:sz w:val="28"/>
          <w:szCs w:val="28"/>
          <w:lang w:val="uk-UA"/>
        </w:rPr>
        <w:t>диференціальній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b w:val="0"/>
          <w:bCs w:val="0"/>
          <w:color w:val="222222"/>
          <w:sz w:val="28"/>
          <w:szCs w:val="28"/>
          <w:lang w:val="uk-UA"/>
        </w:rPr>
        <w:t>психології</w:t>
      </w:r>
    </w:p>
    <w:p w:rsidR="00A90BFB" w:rsidRPr="00A90BFB" w:rsidRDefault="00A90BFB" w:rsidP="00A90BF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</w:pPr>
    </w:p>
    <w:p w:rsidR="00A90BFB" w:rsidRPr="00A90BFB" w:rsidRDefault="00A90BFB" w:rsidP="00A90BF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</w:pPr>
    </w:p>
    <w:p w:rsidR="00A90BFB" w:rsidRPr="00A90BFB" w:rsidRDefault="00A90BFB" w:rsidP="00A90BF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</w:pPr>
      <w:r w:rsidRPr="00A90BFB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Теорії</w:t>
      </w:r>
      <w:r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вплив</w:t>
      </w:r>
      <w:r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середовища</w:t>
      </w:r>
      <w:r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спадковості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Визначення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джерел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варіацій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психічного</w:t>
      </w:r>
      <w:r>
        <w:rPr>
          <w:color w:val="222222"/>
          <w:sz w:val="28"/>
          <w:szCs w:val="28"/>
          <w:lang w:val="uk-UA"/>
        </w:rPr>
        <w:t xml:space="preserve"> – </w:t>
      </w:r>
      <w:r w:rsidRPr="00A90BFB">
        <w:rPr>
          <w:color w:val="222222"/>
          <w:sz w:val="28"/>
          <w:szCs w:val="28"/>
          <w:lang w:val="uk-UA"/>
        </w:rPr>
        <w:t>основна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проблема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диференціальної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психології.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Індивідуальні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відмінності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породжені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численними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складними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взаємодіями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між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спадковістю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середовищем.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забезпечує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стійкість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існування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біологічного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виду,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</w:t>
      </w:r>
      <w:r>
        <w:rPr>
          <w:color w:val="222222"/>
          <w:sz w:val="28"/>
          <w:szCs w:val="28"/>
          <w:lang w:val="uk-UA"/>
        </w:rPr>
        <w:t xml:space="preserve"> – </w:t>
      </w:r>
      <w:r w:rsidRPr="00A90BFB">
        <w:rPr>
          <w:color w:val="222222"/>
          <w:sz w:val="28"/>
          <w:szCs w:val="28"/>
          <w:lang w:val="uk-UA"/>
        </w:rPr>
        <w:t>його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мінливість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можливість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пристосовуватися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загальних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умов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життя.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ознаки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детермінують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передають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ембріону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заплідненні.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Хімічна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розбалансованість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неповнота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спричинює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фізичні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аномалії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або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патології.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Навіть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звичайних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умовах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допускає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широкий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спектр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варіацій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поведінки,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наслідком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підсумовування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норм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реакцій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різного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рівня</w:t>
      </w:r>
      <w:r>
        <w:rPr>
          <w:color w:val="222222"/>
          <w:sz w:val="28"/>
          <w:szCs w:val="28"/>
          <w:lang w:val="uk-UA"/>
        </w:rPr>
        <w:t xml:space="preserve"> – </w:t>
      </w:r>
      <w:r w:rsidRPr="00A90BFB">
        <w:rPr>
          <w:color w:val="222222"/>
          <w:sz w:val="28"/>
          <w:szCs w:val="28"/>
          <w:lang w:val="uk-UA"/>
        </w:rPr>
        <w:t>біохімічних,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фізіологічних,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психологічних,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остаточний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результат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залежить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Отже,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людину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також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властиве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соціальне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спадкоємство</w:t>
      </w:r>
      <w:r>
        <w:rPr>
          <w:color w:val="222222"/>
          <w:sz w:val="28"/>
          <w:szCs w:val="28"/>
          <w:lang w:val="uk-UA"/>
        </w:rPr>
        <w:t xml:space="preserve"> – </w:t>
      </w:r>
      <w:r w:rsidRPr="00A90BFB">
        <w:rPr>
          <w:color w:val="222222"/>
          <w:sz w:val="28"/>
          <w:szCs w:val="28"/>
          <w:lang w:val="uk-UA"/>
        </w:rPr>
        <w:t>дотримання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культурних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зразків,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передавання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акцентуації,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наприклад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шизоїдної,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матері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дитини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через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виховання,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формування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сімейних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сценаріїв,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позбавлені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тварини.</w:t>
      </w:r>
    </w:p>
    <w:p w:rsidR="00A90BFB" w:rsidRPr="00A90BFB" w:rsidRDefault="00A90BFB" w:rsidP="00A9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огляду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переваги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біологічній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середовищній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(соціально-культурній)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детермінації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дослідники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виокремлюють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теорій:</w:t>
      </w:r>
    </w:p>
    <w:p w:rsidR="00A90BFB" w:rsidRPr="00A90BFB" w:rsidRDefault="00A90BFB" w:rsidP="00A90B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Біогенетичні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теорії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ґрунтуються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положенні,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формування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індивідуальності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зумовлене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вродженими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генетичними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задатками.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val="uk-UA"/>
        </w:rPr>
        <w:t>Генетичні</w:t>
      </w: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val="uk-UA"/>
        </w:rPr>
        <w:t>задатки</w:t>
      </w: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визначаються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сукупністю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генів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чоловічих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жіночих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статевих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клітин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генотипом,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утворює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цілісну,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злагоджену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ефективно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працюючу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систему,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постійно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удосконалюється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еволюції.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контролем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генотипу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перебувають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ознаки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організму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морфологічні,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біохімічні,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фізіологічні,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аж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параметрів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вищої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нервової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val="uk-UA"/>
        </w:rPr>
        <w:t>Вроджені</w:t>
      </w: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val="uk-UA"/>
        </w:rPr>
        <w:t>задатки</w:t>
      </w: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зумовлені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генотипом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взаємозв'язку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якістю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внутріутробного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розвитку.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Тому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медичній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генетиці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чітко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розрізняють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такі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поняття,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генетична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вроджена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патологія.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Наприклад,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деякі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види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розумової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відсталості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можуть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наслідком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згубних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впливів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середовища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плід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через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організм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матері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(від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інфекційних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захворювань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нездорового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способу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матері).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поступовим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розгортанням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властивостей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внесок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середовищних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впливів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дуже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обмежений.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Біогенетичні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підходи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нерідко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були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теоретичною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основою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расистських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учень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початкову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відмінність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націй.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Прихильником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цього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підходу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Гальтон,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>також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американський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психолог,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автор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теорії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рекапітуляції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Стенлі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Холл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(1844-1924).</w:t>
      </w:r>
    </w:p>
    <w:p w:rsidR="00A90BFB" w:rsidRPr="00A90BFB" w:rsidRDefault="00A90BFB" w:rsidP="00A90B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Соціогенетичні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теорії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(сенсуалістичний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підхід,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постулює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примат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досвіду)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стверджують,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спочатку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психіка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дитини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чиста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дошка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(tabula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rasa),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досягнення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особливості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зумовлені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зовнішніми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умовами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(середовищем).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Подібну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гіпотезу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висунув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англійський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філософ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Джон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Локк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(1632-1704).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теорії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більш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прогресивні,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однак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недолік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розуміння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дитини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первинно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пасивної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істоти,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об'єкта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впливу.</w:t>
      </w:r>
    </w:p>
    <w:p w:rsidR="00A90BFB" w:rsidRPr="00A90BFB" w:rsidRDefault="00A90BFB" w:rsidP="00A90B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Двофакторні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теорії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(конвергенції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двох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факторів)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постулюють,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наслідком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взаємодії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вроджених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структур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зовнішніх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впливів.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Карл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Бюлер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(1879-1963),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Штерн,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Біне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вважали,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середовища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накладається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фактори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спадковості.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Основоположник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двофакторної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теорії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Штерн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відзначав,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жодну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функцію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сказати,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"ззовні"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вона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"зсередини".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Треба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цікавитися,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ній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"ззовні"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"зсередини".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Проте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межах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двофакторних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теорій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дитину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вважають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пасивним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об'єктом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впливу.</w:t>
      </w:r>
    </w:p>
    <w:p w:rsidR="00A90BFB" w:rsidRPr="00A90BFB" w:rsidRDefault="00A90BFB" w:rsidP="00A90B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Вчення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вищі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психічні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функції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(культурно-історичний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підхід)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Льва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Виготського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(1896-1934)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стверджує,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індивідуальності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можливий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завдяки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існуванню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культури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узагальненого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досвіду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людства.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Вроджені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становлять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розвитку,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середовище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джерело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(тому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ньому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міститься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чим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повинна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оволодіти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людина).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Вищі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психічні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функції,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лише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опосередковані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знаковими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системами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предметною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діяльністю,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змістом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культури.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Щоб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дитина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могла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засвоїти,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треба,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аби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вона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вступила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особливі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відносини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навколишнім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світом: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пристосовувалась,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активно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привласнювала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собі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досвід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попередніх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поколінь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спільної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спілкування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дорослими,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тобто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носіями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культури.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Швейцарський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психолог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Карл-Густав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Юнг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(1875-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1961)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довів,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культура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також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джерелом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стійких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поведінкових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проявів,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закріплених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колективному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несвідомому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формі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архетипів,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але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збереження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прояви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довести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природничо-науковими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методами.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Роль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намагається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визначити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генетика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кількісних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ознак,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аналізує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різні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види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дисперсії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значень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ознаки.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Проте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проста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ознака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фіксується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одним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алелем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(парою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домінантний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рецесивний).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Крім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того,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комплексний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ефект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розглядати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арифметичну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суму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кожного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вони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взаємодіють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між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собою,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спричинюючи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системні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ефекти.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Тому,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вивчаючи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процес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генетичного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контролю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психологічної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ознаки,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психогенетика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прагне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знайти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відповіді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питання: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наскільки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генотип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визначає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формування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відмінностей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(тобто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очікуваний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ступінь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варіативності)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біологічний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механізм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його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ділянці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хромосоми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локалізовані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відповідні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гени);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процеси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поєднують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білковий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продукт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конкретний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lastRenderedPageBreak/>
        <w:t>фенотип;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існують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чинники,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змінюють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досліджуваний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генетичний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механізм.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rStyle w:val="a4"/>
          <w:i/>
          <w:iCs/>
          <w:color w:val="222222"/>
          <w:sz w:val="28"/>
          <w:szCs w:val="28"/>
          <w:lang w:val="uk-UA"/>
        </w:rPr>
        <w:t>Успадкованість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A90BFB">
        <w:rPr>
          <w:rStyle w:val="a4"/>
          <w:i/>
          <w:iCs/>
          <w:color w:val="222222"/>
          <w:sz w:val="28"/>
          <w:szCs w:val="28"/>
          <w:lang w:val="uk-UA"/>
        </w:rPr>
        <w:t>ознаки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розпізнають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наявністю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кореляції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між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показниками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дітей,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подібністю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показників.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Наприклад,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темпераменти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їхніх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відданих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усиновлення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багато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спільного.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Найімовірніше,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прийомних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сім'ях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перебуватимуть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умов,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унаслідок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абсолютними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показниками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вони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стануть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подібними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названих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батьків.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Проте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кореляції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буде.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Численні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дослідження,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присвячені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виявленню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джерел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варіацій,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правило,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змоги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однозначно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оцінити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роль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спадковості.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Наприклад,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завдяки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психогенетичним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дослідженням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Гальтона,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проведеним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20-ті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XX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використанням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близнюкового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методу,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було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виявлено,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біологічно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детерміновані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характеристики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(розміри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черепа,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інші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ознаки)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визначені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генетично,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психологічні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(коефіцієнт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інтелекту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різними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тестами)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великий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розкид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зумовлені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середовищем.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соціальний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економічний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статус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сім'ї,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порядок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народження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Натепер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поширилися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експозиційна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ідентифікаційна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моделі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інтелектуальні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здібності.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Відповідно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експозиційної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моделі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Роберта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Зайонца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(нар.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1923),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більше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часу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проводять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разом,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кореляція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коефіцієнта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інтелекту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старшим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родичем.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Тобто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дитина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інтелектуальними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здібностями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подібна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того,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довше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виховує,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якихось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причин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приділяють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мало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часу,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вона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буде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подібна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няню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бабусю.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Згідно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ідентифікаційною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моделлю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найвища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кореляція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спостерігається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між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дитиною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родичем,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предметом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ідентифікації.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Тобто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інтелектуальний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авторитет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навіть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дистанційно,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регулярна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спільна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діяльність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обов'язкова.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Майже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однакова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популярність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двох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моделей,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суперечать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одна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одній,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свідчить,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більшість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диференціально-психологічних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теорій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обмежений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характер.</w:t>
      </w:r>
    </w:p>
    <w:p w:rsidR="00A90BFB" w:rsidRDefault="00A90BFB" w:rsidP="00A90BFB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</w:p>
    <w:p w:rsidR="00A90BFB" w:rsidRPr="00A90BFB" w:rsidRDefault="00A90BFB" w:rsidP="00A90BFB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  <w:r w:rsidRPr="00A90BFB">
        <w:rPr>
          <w:bCs w:val="0"/>
          <w:color w:val="222222"/>
          <w:sz w:val="28"/>
          <w:szCs w:val="28"/>
          <w:lang w:val="uk-UA"/>
        </w:rPr>
        <w:t>2. Трактування спадковості і середовища у диференціальній психології</w:t>
      </w:r>
    </w:p>
    <w:p w:rsidR="00A90BFB" w:rsidRPr="00A90BFB" w:rsidRDefault="00A90BFB" w:rsidP="00A90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Теорія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диференціальної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психології,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заперечуючи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внеску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середовища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спадковості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прояв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індивідуальних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відмінностей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психіки,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намагається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уточнити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поняття.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Спадковість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тепер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розуміють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ширше: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просто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окремі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ознаки,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впливають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поведінку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(наприклад,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властивості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нервової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системи,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вважали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протягом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тривалого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часу),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вроджені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(граціалізація,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репродуктивна,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територіальна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поведінка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ін.).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соціальної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поведінки,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кількість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постійно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збільшується,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вивчає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Style w:val="a4"/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соціоетологія</w:t>
      </w:r>
      <w:r>
        <w:rPr>
          <w:rStyle w:val="a4"/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–</w:t>
      </w:r>
      <w:r>
        <w:rPr>
          <w:rStyle w:val="a4"/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наука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біологічні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основи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соціальної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поведінки.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Особливість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соціальної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поведінки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полягає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тому,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траєкторія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передбачена;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програма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містить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собі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"запуску",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послідовність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критичних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пунктів.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контролем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генотипу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перебувають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ознаки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організму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морфологічні,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біохімічні,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фізіологічні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аж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параметрів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вищої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нервової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тварин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hAnsi="Times New Roman" w:cs="Times New Roman"/>
          <w:color w:val="222222"/>
          <w:sz w:val="28"/>
          <w:szCs w:val="28"/>
          <w:lang w:val="uk-UA"/>
        </w:rPr>
        <w:t>людини.</w:t>
      </w:r>
    </w:p>
    <w:p w:rsidR="00A90BFB" w:rsidRPr="00A90BFB" w:rsidRDefault="00A90BFB" w:rsidP="00A9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змінилося.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просто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низка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стимулів,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реагує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протягом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усього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починаючи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повітря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їжі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закінчуючи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освіти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ставленням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товаришів.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радше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взаємодій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світу.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Ознаками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Черноушек):</w:t>
      </w:r>
    </w:p>
    <w:p w:rsidR="00A90BFB" w:rsidRPr="00A90BFB" w:rsidRDefault="00A90BFB" w:rsidP="00A90B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відсутність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фіксованих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меж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просторі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(тобто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воно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людського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буття);</w:t>
      </w:r>
    </w:p>
    <w:p w:rsidR="00A90BFB" w:rsidRPr="00A90BFB" w:rsidRDefault="00A90BFB" w:rsidP="00A90B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почуття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відразу;</w:t>
      </w:r>
    </w:p>
    <w:p w:rsidR="00A90BFB" w:rsidRPr="00A90BFB" w:rsidRDefault="00A90BFB" w:rsidP="00A90B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надання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тільки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головної,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другорядної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(периферійної)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інформації;</w:t>
      </w:r>
    </w:p>
    <w:p w:rsidR="00A90BFB" w:rsidRPr="00A90BFB" w:rsidRDefault="00A90BFB" w:rsidP="00A90B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наявність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більшого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обсягу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інформації,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ніж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здатні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сприйняти;</w:t>
      </w:r>
    </w:p>
    <w:p w:rsidR="00A90BFB" w:rsidRPr="00A90BFB" w:rsidRDefault="00A90BFB" w:rsidP="00A90B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тісний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зв'язок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із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діяльністю;</w:t>
      </w:r>
    </w:p>
    <w:p w:rsidR="00A90BFB" w:rsidRPr="00A90BFB" w:rsidRDefault="00A90BFB" w:rsidP="00A90B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наявність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лише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матеріальних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особливостей,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психологічних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символічних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значень;</w:t>
      </w:r>
    </w:p>
    <w:p w:rsidR="00A90BFB" w:rsidRPr="00A90BFB" w:rsidRDefault="00A90BFB" w:rsidP="00A90B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середовища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єдиного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цілого.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одночасно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існує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кількох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середовищах.</w:t>
      </w:r>
    </w:p>
    <w:p w:rsidR="00A90BFB" w:rsidRPr="00A90BFB" w:rsidRDefault="00A90BFB" w:rsidP="00A90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Сучасний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американський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Бронфенбреннер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книзі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"Екологія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людського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представив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екологічне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концентричних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структур:</w:t>
      </w:r>
    </w:p>
    <w:p w:rsidR="00A90BFB" w:rsidRPr="00A90BFB" w:rsidRDefault="00A90BFB" w:rsidP="00A90B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мікросистема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структура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діяльностей,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ролей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міжособистісних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взаємодій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конкретному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оточенні.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Навіть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двох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близнят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середовище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буде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ідентичним,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вимоги,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очікування,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неминуче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призначають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старшим,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другого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молодшим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тощо;</w:t>
      </w:r>
    </w:p>
    <w:p w:rsidR="00A90BFB" w:rsidRPr="00A90BFB" w:rsidRDefault="00A90BFB" w:rsidP="00A90B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мезосистема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структура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взаємовідношення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двох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більше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середовищ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(сім'я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робота,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домашнє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оточення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група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однолітків).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Наприклад,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брат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сестра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ходять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школу,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але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сестрі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дозволяють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приводити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додому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подруг,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братові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мезосистема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їхньої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життєдіяльності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відрізнятиметься;</w:t>
      </w:r>
    </w:p>
    <w:p w:rsidR="00A90BFB" w:rsidRPr="00A90BFB" w:rsidRDefault="00A90BFB" w:rsidP="00A90B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екзосистема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середовище,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просторі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відбуваються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значущі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(коло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спілкування).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Так,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можуть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ходити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саму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школу,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але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цьому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коло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однокласників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значущим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байдужим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іншого,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важливі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життєві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події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відбуваються,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наприклад,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драмгуртку;</w:t>
      </w:r>
    </w:p>
    <w:p w:rsidR="00A90BFB" w:rsidRPr="00A90BFB" w:rsidRDefault="00A90BFB" w:rsidP="00A90B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макросистема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субкультура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(цінності,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закони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традиції,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дотримується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людина).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Бронфенбреннер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вважає,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макросистема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відіграє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вирішальну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роль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способі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підпорядковуючи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собі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"внутрішні"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Наприклад,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якщо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країні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заохочують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народжуваність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надають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відпустку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догляду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дитиною,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дитині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бракуватиме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материнської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уваги,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мікро-,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мезо-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екзосистеми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зможуть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компенсувати.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боку,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незалежно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конкретних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зовнішніх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складові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способу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світогляду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зберігаються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A90BFB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субкультурі.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lastRenderedPageBreak/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думку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Бронфенбреннера,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два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основні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виміри: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види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діяльності,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якої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була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залучена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людина,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характеристики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наставників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(учителів),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вона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вибирає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для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себе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протягом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усього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життя.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різних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стадіях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розвитку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людина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вибирає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змінює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своє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причому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часом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роль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власної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активності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формуванні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постійно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зростає.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Сучасна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російська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дослідниця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Валерія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Мухіна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поняття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"середовище"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включає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предметний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світ,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образно-знакові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системи,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соціальний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простір,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природну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реальність.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Виокремлюють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мовне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освітнє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джерелами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досягнень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людини.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Тепер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вести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мову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віртуальне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(Інтернет,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комп'ютерна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залежність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інші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стійкого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афективного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ставлення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об'єктивно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неіснуючих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явищ).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також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охоплює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детермінування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особливостей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географічними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умовами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ландшафтом,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кліматом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(географічний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детермінізм),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змістом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культури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субкультури,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необхідними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Цінними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для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суб'єкта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речами,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нарешті,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якістю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формою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спілкування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людини.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Привласнення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(персоналізація)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вмісту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</w:t>
      </w:r>
      <w:r>
        <w:rPr>
          <w:color w:val="222222"/>
          <w:sz w:val="28"/>
          <w:szCs w:val="28"/>
          <w:lang w:val="uk-UA"/>
        </w:rPr>
        <w:t xml:space="preserve"> – </w:t>
      </w:r>
      <w:r w:rsidRPr="00A90BFB">
        <w:rPr>
          <w:color w:val="222222"/>
          <w:sz w:val="28"/>
          <w:szCs w:val="28"/>
          <w:lang w:val="uk-UA"/>
        </w:rPr>
        <w:t>важливий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чинник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розвитку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особистості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самосвідомості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людини.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Однією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спроб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примирення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прихильників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біогенетичних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соціогенетичних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концепцій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стала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ортогенетична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концепція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X.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Вернера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(ортогенез</w:t>
      </w:r>
      <w:r>
        <w:rPr>
          <w:color w:val="222222"/>
          <w:sz w:val="28"/>
          <w:szCs w:val="28"/>
          <w:lang w:val="uk-UA"/>
        </w:rPr>
        <w:t xml:space="preserve"> – </w:t>
      </w:r>
      <w:r w:rsidRPr="00A90BFB">
        <w:rPr>
          <w:color w:val="222222"/>
          <w:sz w:val="28"/>
          <w:szCs w:val="28"/>
          <w:lang w:val="uk-UA"/>
        </w:rPr>
        <w:t>альтернативна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дарвінізму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теорія,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якою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розвиток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організмів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являє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собою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лише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"органічний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ріст"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певних,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наперед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визначених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напрямах;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еволюцію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організмів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спрямовують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закладені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внутрішні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сили;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заперечує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творчу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роль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природного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добору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процесі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еволюції).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Згідно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його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поглядами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всі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організми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народжуються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функціями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числі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психічними),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зафіксованими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нижній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точці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розвитку.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Взаємодіючи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середовищем,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вони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набувають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нового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досвіду,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який,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свою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чергу,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закріплюється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нових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функціональних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структурах,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котрі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знову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визначають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мінімум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взаємодії,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проте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якості.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Отже,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організація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попередніх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стадій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передбачає,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але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містить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собі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організацію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подальших.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стадія,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частіше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ініціатива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виходить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індивіда,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активнішим,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починає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маніпулювати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середовищем,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тільки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пасивно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нього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реагувати.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Розширення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можливостей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суб'єкта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виражається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розумінні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групових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цілей,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умінні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відгукуватися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відстрочені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заплановані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завдання.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Дж.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Вулвілл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також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відзначив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зміну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активності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суб'єкта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запропонував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моделі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взаємодії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суб'єкта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середовища: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"лікарняне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ліжко"</w:t>
      </w:r>
      <w:r>
        <w:rPr>
          <w:color w:val="222222"/>
          <w:sz w:val="28"/>
          <w:szCs w:val="28"/>
          <w:lang w:val="uk-UA"/>
        </w:rPr>
        <w:t xml:space="preserve"> – </w:t>
      </w:r>
      <w:r w:rsidRPr="00A90BFB">
        <w:rPr>
          <w:color w:val="222222"/>
          <w:sz w:val="28"/>
          <w:szCs w:val="28"/>
          <w:lang w:val="uk-UA"/>
        </w:rPr>
        <w:t>перші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місяці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життя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людини,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позначені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майже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повною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пасивністю;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"луна-парк"</w:t>
      </w:r>
      <w:r>
        <w:rPr>
          <w:color w:val="222222"/>
          <w:sz w:val="28"/>
          <w:szCs w:val="28"/>
          <w:lang w:val="uk-UA"/>
        </w:rPr>
        <w:t xml:space="preserve"> – </w:t>
      </w:r>
      <w:r w:rsidRPr="00A90BFB">
        <w:rPr>
          <w:color w:val="222222"/>
          <w:sz w:val="28"/>
          <w:szCs w:val="28"/>
          <w:lang w:val="uk-UA"/>
        </w:rPr>
        <w:t>об'єкти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дитина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вибирати,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але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залишається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незмінним;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"змагання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плавців"</w:t>
      </w:r>
      <w:r>
        <w:rPr>
          <w:color w:val="222222"/>
          <w:sz w:val="28"/>
          <w:szCs w:val="28"/>
          <w:lang w:val="uk-UA"/>
        </w:rPr>
        <w:t xml:space="preserve"> – </w:t>
      </w:r>
      <w:r w:rsidRPr="00A90BFB">
        <w:rPr>
          <w:color w:val="222222"/>
          <w:sz w:val="28"/>
          <w:szCs w:val="28"/>
          <w:lang w:val="uk-UA"/>
        </w:rPr>
        <w:t>суб'єкт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іде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своїм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шляхом,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лише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контекстом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життя;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"тенісний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м'яч"</w:t>
      </w:r>
      <w:r>
        <w:rPr>
          <w:color w:val="222222"/>
          <w:sz w:val="28"/>
          <w:szCs w:val="28"/>
          <w:lang w:val="uk-UA"/>
        </w:rPr>
        <w:t xml:space="preserve"> – </w:t>
      </w:r>
      <w:r w:rsidRPr="00A90BFB">
        <w:rPr>
          <w:color w:val="222222"/>
          <w:sz w:val="28"/>
          <w:szCs w:val="28"/>
          <w:lang w:val="uk-UA"/>
        </w:rPr>
        <w:t>постійна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взаємодія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між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суб'єктом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(цей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погляд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загалом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відповідає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позиції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X.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Вернера).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Вивчаючи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індивідуальні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відмінності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психіки,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важливо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усвідомлювати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нетотожність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понять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"середовищ-ний"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"соціальний"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"спадкове"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"біологічне",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"стійке"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"успадковане".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Оскільки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змінюється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по-різному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розгортаються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вроджені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програми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поведінки,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психіка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людини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lastRenderedPageBreak/>
        <w:t>індивідуалізується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протягом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усього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життя.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ділянки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більш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варіативні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чутливі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відносно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стійкі.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буденній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свідомості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поширені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хибні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уявлення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людину.</w:t>
      </w:r>
      <w:r>
        <w:rPr>
          <w:color w:val="222222"/>
          <w:sz w:val="28"/>
          <w:szCs w:val="28"/>
          <w:lang w:val="uk-UA"/>
        </w:rPr>
        <w:t xml:space="preserve"> Ї</w:t>
      </w:r>
      <w:r w:rsidRPr="00A90BFB">
        <w:rPr>
          <w:color w:val="222222"/>
          <w:sz w:val="28"/>
          <w:szCs w:val="28"/>
          <w:lang w:val="uk-UA"/>
        </w:rPr>
        <w:t>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слід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з'ясувати,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щоб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уникнути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помилок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аналізі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співвідношення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Одне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найчастіших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різноманітних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непорозумінь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полягає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змішуванні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понять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"спадкове"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"вроджене".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Твердження,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все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наявне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народженні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неодмінно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спадковим,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виникає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внаслідок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неточності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вживання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понять.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Словникові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визначення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термінів,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"спадковий",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"природжений",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"генетичний"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"вроджений"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важко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розрізнити,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науковій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популярній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літературі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часто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використовують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взаємозамінні.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Вчені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вживають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ці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поняття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синоніми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"спадкового",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неспеціалісти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неправильно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інтерпретують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їх,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пов'язуючи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сенсом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народженням,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присутнє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корені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слів,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"природжений",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"вроджений".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Спадкові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чинники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можуть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розвиток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індивіда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фактично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протягом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усього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життя.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сприйнятливість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різних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захворювань,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наприклад,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виявлятися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молодому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віці.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Навіть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причини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смертності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чинники,</w:t>
      </w:r>
      <w:r>
        <w:rPr>
          <w:color w:val="222222"/>
          <w:sz w:val="28"/>
          <w:szCs w:val="28"/>
          <w:lang w:val="uk-UA"/>
        </w:rPr>
        <w:t xml:space="preserve"> – </w:t>
      </w:r>
      <w:r w:rsidRPr="00A90BFB">
        <w:rPr>
          <w:color w:val="222222"/>
          <w:sz w:val="28"/>
          <w:szCs w:val="28"/>
          <w:lang w:val="uk-UA"/>
        </w:rPr>
        <w:t>отже,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виявляються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будь-якому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віці.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Впливи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індивід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починає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відчувати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пренатальний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період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життя.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Момент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народження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одна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подій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процесі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розвитку,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починається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зачаття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індивіда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закінчується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смертю.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Поширена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помилкова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переконаність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тому,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припускає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подібність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навпаки.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постійні,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вони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передаються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покоління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покоління.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"виготовляють"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конкретні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просто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передають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своїм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дітям,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індивід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успадковує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лише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усіх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своїх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прямих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попередників.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Ознака,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непомітна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протягом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багатьох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поколінь,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почати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виявлятися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через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конкретну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комбінацію,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наприклад,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двох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рецесивних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(прихованих)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генів.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приклади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сімейних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хроніках.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Найпоширенішим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випадок,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коли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двох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карими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очима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народжується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блакитноока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дитина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внаслідок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комбінації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двох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рецесивних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"блакитнооких"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генів.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Подібність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дитини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розвинутися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час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їхніх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контактів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пренатальний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(відносно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матері)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постнатальний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періоди.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Постійний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взаємовплив,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загальні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спонуки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можуть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причинами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подібності.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Тому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жодну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подібність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між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дитиною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вважати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спадковою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без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аналізу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походження.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Теорія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Ламарка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успадкування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набутих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ознак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була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підтверджена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експериментальними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відкриттями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генетики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ембріології.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Однак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існує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точка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зору,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можуть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передавати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своїм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дітям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фізичні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1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психічні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вони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розвинули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собі,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тренуючись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набуваючи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життєвого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досвіду.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Наприклад,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закінчили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університет,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їхні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"успадкують"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прекрасні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інтелектуальні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здібності;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або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захоплюються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атлетикою,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будуть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сильніші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м'язи.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твердження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висловлюють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lastRenderedPageBreak/>
        <w:t>також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стосовно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спадкованості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батьківських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страхів,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інтересів,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упереджень,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етичних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естетичних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стандартів,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професійної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майстерності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тощо.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Насправді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дітям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передається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тільки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те,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безпосередньо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через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гени.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дуже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стійкі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зовнішніх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дій,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чинників,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здатних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них,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дуже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мало.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Радіація,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алкоголь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можуть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ушкоджувати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цитоплазму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репродуктивних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клітин,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розвиток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дитини,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але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призводять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успадковуваних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змін,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тим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паче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гени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неспроможні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передати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інтерес,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наприклад,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класичної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або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авангардистської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манери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малювання.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Ще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наївніше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вважати,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вагітну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жінку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можуть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позначитися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дитині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(побутові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пояснення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званих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"родових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відмітин";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марновірство,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чоловіка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можуть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бути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густі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брови,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його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матір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час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вагітності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налякала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волохата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собака;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переконання,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коли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відвідувати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концерти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дитина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полюбить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музику).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розвиток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плоду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вплинути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лише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побічно,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через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біомеханічні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дії: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через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кров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передати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плоду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токсичні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речовини,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хвороботвірні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бактерії;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розвитку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ембріона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позначається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загальний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рівень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метаболізму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материнському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організмі,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харчування,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стан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ендокринної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системи.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Отже,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емоційне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збудження,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пережите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час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вагітності,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плід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опосередковано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через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хімічні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зміни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материнській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крові.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Існує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також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переконання,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властивість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виявилася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спадковою,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змінити.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Це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неправильно,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оскільки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захворювання,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наприклад,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неминучими,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невиліковними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їм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запобігти,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вони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піддаються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лікуванню.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Багато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якостей,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отриманих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спадок,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скоригувати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такими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чинниками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дієта,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вправи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або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освіта;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дуже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мало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спадкових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ознак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(група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крові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колір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очей)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змінити.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всі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стійкі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властивості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людина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набуває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спадково.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Наприклад,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олігофренію,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піддається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лікуванню,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спричинює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пренатальна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мозкова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травма.</w:t>
      </w:r>
    </w:p>
    <w:p w:rsidR="00A90BFB" w:rsidRPr="00A90BFB" w:rsidRDefault="00A90BFB" w:rsidP="00A90BFB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A90BFB">
        <w:rPr>
          <w:color w:val="222222"/>
          <w:sz w:val="28"/>
          <w:szCs w:val="28"/>
          <w:lang w:val="uk-UA"/>
        </w:rPr>
        <w:t>Однак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відмінності,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виникли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під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впливом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навколишнього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середовища,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теж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ігнорувати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або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відкидати,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бо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вони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стійкі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формують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індивідуальність.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Зокрема,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характеру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навички,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сформувалися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людини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дванадцяти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років,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теж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дуже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важко</w:t>
      </w:r>
      <w:r>
        <w:rPr>
          <w:color w:val="222222"/>
          <w:sz w:val="28"/>
          <w:szCs w:val="28"/>
          <w:lang w:val="uk-UA"/>
        </w:rPr>
        <w:t xml:space="preserve"> </w:t>
      </w:r>
      <w:r w:rsidRPr="00A90BFB">
        <w:rPr>
          <w:color w:val="222222"/>
          <w:sz w:val="28"/>
          <w:szCs w:val="28"/>
          <w:lang w:val="uk-UA"/>
        </w:rPr>
        <w:t>змінити.</w:t>
      </w:r>
    </w:p>
    <w:p w:rsidR="00A90BFB" w:rsidRPr="00A90BFB" w:rsidRDefault="00A90BFB" w:rsidP="00A9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0BFB" w:rsidRPr="00A9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1D1"/>
    <w:multiLevelType w:val="multilevel"/>
    <w:tmpl w:val="E6608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E0EDA"/>
    <w:multiLevelType w:val="multilevel"/>
    <w:tmpl w:val="C83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0336"/>
    <w:multiLevelType w:val="hybridMultilevel"/>
    <w:tmpl w:val="AE206E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467953"/>
    <w:multiLevelType w:val="multilevel"/>
    <w:tmpl w:val="74B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C3A7D"/>
    <w:multiLevelType w:val="multilevel"/>
    <w:tmpl w:val="0068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D7B5F"/>
    <w:multiLevelType w:val="multilevel"/>
    <w:tmpl w:val="801C4D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857F8"/>
    <w:multiLevelType w:val="multilevel"/>
    <w:tmpl w:val="FCDC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90BFB"/>
    <w:rsid w:val="00A9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0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A90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2748</Words>
  <Characters>15666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2020-11-25T07:47:00Z</dcterms:created>
  <dcterms:modified xsi:type="dcterms:W3CDTF">2020-11-25T08:00:00Z</dcterms:modified>
</cp:coreProperties>
</file>