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4D" w:rsidRDefault="001F2B4D" w:rsidP="00B87824">
      <w:pPr>
        <w:jc w:val="center"/>
        <w:rPr>
          <w:b/>
          <w:sz w:val="24"/>
          <w:szCs w:val="24"/>
          <w:lang w:val="uk-UA"/>
        </w:rPr>
      </w:pPr>
      <w:r w:rsidRPr="00B87824">
        <w:rPr>
          <w:b/>
          <w:sz w:val="24"/>
          <w:szCs w:val="24"/>
          <w:lang w:val="uk-UA"/>
        </w:rPr>
        <w:t>Вимоги до студентських презентаційних робіт та порядок виконання</w:t>
      </w:r>
    </w:p>
    <w:p w:rsidR="001F2B4D" w:rsidRPr="00554CA2" w:rsidRDefault="001F2B4D" w:rsidP="00B87824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Требокания к студенческим работам</w:t>
      </w:r>
      <w:r>
        <w:rPr>
          <w:b/>
          <w:sz w:val="24"/>
          <w:szCs w:val="24"/>
          <w:lang w:val="uk-UA"/>
        </w:rPr>
        <w:t xml:space="preserve"> </w:t>
      </w:r>
    </w:p>
    <w:p w:rsidR="001F2B4D" w:rsidRDefault="001F2B4D">
      <w:pPr>
        <w:rPr>
          <w:lang w:val="uk-UA"/>
        </w:rPr>
      </w:pPr>
    </w:p>
    <w:p w:rsidR="001F2B4D" w:rsidRDefault="001F2B4D" w:rsidP="001D05B4">
      <w:pPr>
        <w:pStyle w:val="ListParagraph"/>
        <w:rPr>
          <w:lang w:val="uk-UA"/>
        </w:rPr>
      </w:pPr>
      <w:r>
        <w:t xml:space="preserve">Для проведения аналитической работы необходимо выдрать университет одной из стран Европы или Америки, Азии, Австралии, Африки. Желательно, чтобы в университете была подготовка по профессиональному профилю (социолог, социальный работник, социальная реабилитация и т.д.) </w:t>
      </w:r>
    </w:p>
    <w:p w:rsidR="001F2B4D" w:rsidRDefault="001F2B4D" w:rsidP="001D05B4">
      <w:pPr>
        <w:pStyle w:val="ListParagraph"/>
        <w:rPr>
          <w:lang w:val="uk-UA"/>
        </w:rPr>
      </w:pPr>
      <w:r>
        <w:rPr>
          <w:lang w:val="uk-UA"/>
        </w:rPr>
        <w:t>Рассмотрев материалы официального сайта университета, статей, справочных материалов и других источников, описать учебный процесс в выбранном вами университете, его структуру и особенности.</w:t>
      </w:r>
    </w:p>
    <w:p w:rsidR="001F2B4D" w:rsidRDefault="001F2B4D" w:rsidP="001D05B4">
      <w:pPr>
        <w:pStyle w:val="ListParagraph"/>
        <w:rPr>
          <w:lang w:val="uk-UA"/>
        </w:rPr>
      </w:pPr>
      <w:r>
        <w:rPr>
          <w:lang w:val="uk-UA"/>
        </w:rPr>
        <w:t>Сравнить основне характеристики ученого процесса в университете Шяуляйя и выбраного вами университета.</w:t>
      </w:r>
    </w:p>
    <w:p w:rsidR="001F2B4D" w:rsidRDefault="001F2B4D" w:rsidP="001D05B4">
      <w:pPr>
        <w:pStyle w:val="ListParagraph"/>
        <w:rPr>
          <w:lang w:val="uk-UA"/>
        </w:rPr>
      </w:pPr>
      <w:r>
        <w:rPr>
          <w:lang w:val="uk-UA"/>
        </w:rPr>
        <w:t>По материалам исследования подготовить презентацію.</w:t>
      </w:r>
    </w:p>
    <w:p w:rsidR="001F2B4D" w:rsidRDefault="001F2B4D" w:rsidP="00416F96">
      <w:pPr>
        <w:rPr>
          <w:lang w:val="uk-UA"/>
        </w:rPr>
      </w:pPr>
    </w:p>
    <w:p w:rsidR="001F2B4D" w:rsidRDefault="001F2B4D" w:rsidP="00416F96">
      <w:pPr>
        <w:rPr>
          <w:lang w:val="uk-UA"/>
        </w:rPr>
      </w:pPr>
      <w:r>
        <w:rPr>
          <w:lang w:val="uk-UA"/>
        </w:rPr>
        <w:t>Заметки</w:t>
      </w:r>
    </w:p>
    <w:p w:rsidR="001F2B4D" w:rsidRDefault="001F2B4D" w:rsidP="001D05B4">
      <w:pPr>
        <w:pStyle w:val="ListParagraph"/>
        <w:rPr>
          <w:lang w:val="uk-UA"/>
        </w:rPr>
      </w:pPr>
      <w:r w:rsidRPr="001D05B4">
        <w:rPr>
          <w:b/>
          <w:bCs/>
        </w:rPr>
        <w:t>Обуче́ние</w:t>
      </w:r>
      <w:r w:rsidRPr="001D05B4">
        <w:rPr>
          <w:rStyle w:val="apple-converted-space"/>
          <w:rFonts w:ascii="Arial" w:hAnsi="Arial" w:cs="Arial"/>
          <w:i/>
        </w:rPr>
        <w:t> </w:t>
      </w:r>
      <w:r w:rsidRPr="001D05B4">
        <w:t>(в</w:t>
      </w:r>
      <w:r w:rsidRPr="001D05B4">
        <w:rPr>
          <w:rStyle w:val="apple-converted-space"/>
          <w:rFonts w:ascii="Arial" w:hAnsi="Arial" w:cs="Arial"/>
          <w:i/>
        </w:rPr>
        <w:t> </w:t>
      </w:r>
      <w:hyperlink r:id="rId5" w:tooltip="Педагогика" w:history="1">
        <w:r w:rsidRPr="001D05B4">
          <w:rPr>
            <w:rStyle w:val="Hyperlink"/>
            <w:rFonts w:ascii="Arial" w:hAnsi="Arial" w:cs="Arial"/>
            <w:i/>
            <w:color w:val="auto"/>
          </w:rPr>
          <w:t>педагогике</w:t>
        </w:r>
      </w:hyperlink>
      <w:r w:rsidRPr="001D05B4">
        <w:t>) — целенаправленный педагогический процесс организации и стимулирования активной учебно-познавательной деятельности учащихся по овладению ЗУН (</w:t>
      </w:r>
      <w:hyperlink r:id="rId6" w:tooltip="Знания" w:history="1">
        <w:r w:rsidRPr="001D05B4">
          <w:rPr>
            <w:rStyle w:val="Hyperlink"/>
            <w:rFonts w:ascii="Arial" w:hAnsi="Arial" w:cs="Arial"/>
            <w:i/>
            <w:color w:val="auto"/>
          </w:rPr>
          <w:t>знания</w:t>
        </w:r>
      </w:hyperlink>
      <w:r w:rsidRPr="001D05B4">
        <w:t>,</w:t>
      </w:r>
      <w:r w:rsidRPr="001D05B4">
        <w:rPr>
          <w:rStyle w:val="apple-converted-space"/>
          <w:rFonts w:ascii="Arial" w:hAnsi="Arial" w:cs="Arial"/>
          <w:i/>
        </w:rPr>
        <w:t> </w:t>
      </w:r>
      <w:hyperlink r:id="rId7" w:tooltip="Умение" w:history="1">
        <w:r w:rsidRPr="001D05B4">
          <w:rPr>
            <w:rStyle w:val="Hyperlink"/>
            <w:rFonts w:ascii="Arial" w:hAnsi="Arial" w:cs="Arial"/>
            <w:i/>
            <w:color w:val="auto"/>
          </w:rPr>
          <w:t>умения</w:t>
        </w:r>
      </w:hyperlink>
      <w:r w:rsidRPr="001D05B4">
        <w:t>,</w:t>
      </w:r>
      <w:r w:rsidRPr="001D05B4">
        <w:rPr>
          <w:rStyle w:val="apple-converted-space"/>
          <w:rFonts w:ascii="Arial" w:hAnsi="Arial" w:cs="Arial"/>
          <w:i/>
        </w:rPr>
        <w:t> </w:t>
      </w:r>
      <w:hyperlink r:id="rId8" w:tooltip="Навыки" w:history="1">
        <w:r w:rsidRPr="001D05B4">
          <w:rPr>
            <w:rStyle w:val="Hyperlink"/>
            <w:rFonts w:ascii="Arial" w:hAnsi="Arial" w:cs="Arial"/>
            <w:i/>
            <w:color w:val="auto"/>
          </w:rPr>
          <w:t>навыки</w:t>
        </w:r>
      </w:hyperlink>
      <w:r w:rsidRPr="001D05B4">
        <w:t>), развитию творческих способностей и нравственных этических взглядов. Обучение — вид учебной деятельности, в которой количество и качество элементов знаний и умений ученика доводятся до должного уровня (среднего, эталонного, возможного), составляющего цель обучения.</w:t>
      </w:r>
      <w:r>
        <w:rPr>
          <w:lang w:val="uk-UA"/>
        </w:rPr>
        <w:t xml:space="preserve"> </w:t>
      </w:r>
    </w:p>
    <w:p w:rsidR="001F2B4D" w:rsidRPr="001D05B4" w:rsidRDefault="001F2B4D" w:rsidP="000D5B7D">
      <w:pPr>
        <w:pStyle w:val="ListParagraph"/>
        <w:rPr>
          <w:lang w:val="uk-UA"/>
        </w:rPr>
      </w:pPr>
      <w:r w:rsidRPr="001D05B4">
        <w:t>Процесс обучения в высшей школе определяется внешними (объективными) и внутренними (субъективными) факторами К внутренним факторам следует отнести личностные черты студента: особенности его темпераменте НТУ, характера, мышления, памяти, познавательных возможностей, способностей, мотивацию учения, опыт, уровень знаний, стиль учебно - познавательной деятельности К внешним факторам относят изм исторических и методы обучения, уровень профессиональной подготовки преподавателя, условия обучения в высшем учебном заведени</w:t>
      </w:r>
      <w:r>
        <w:t>и, социальное окружение студент</w:t>
      </w:r>
      <w:r w:rsidRPr="001D05B4">
        <w:t>а.</w:t>
      </w:r>
    </w:p>
    <w:p w:rsidR="001F2B4D" w:rsidRDefault="001F2B4D" w:rsidP="00416F96">
      <w:pPr>
        <w:rPr>
          <w:lang w:val="uk-UA"/>
        </w:rPr>
      </w:pPr>
    </w:p>
    <w:sectPr w:rsidR="001F2B4D" w:rsidSect="00F0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C1613"/>
    <w:multiLevelType w:val="hybridMultilevel"/>
    <w:tmpl w:val="A2A2A86A"/>
    <w:lvl w:ilvl="0" w:tplc="56BE356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008F2"/>
    <w:multiLevelType w:val="hybridMultilevel"/>
    <w:tmpl w:val="5CD4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A51"/>
    <w:rsid w:val="00007E6A"/>
    <w:rsid w:val="000D5B7D"/>
    <w:rsid w:val="001D05B4"/>
    <w:rsid w:val="001F2B4D"/>
    <w:rsid w:val="00416F96"/>
    <w:rsid w:val="00554CA2"/>
    <w:rsid w:val="00970522"/>
    <w:rsid w:val="009F0EDB"/>
    <w:rsid w:val="00A37C69"/>
    <w:rsid w:val="00AF692A"/>
    <w:rsid w:val="00B71A51"/>
    <w:rsid w:val="00B87824"/>
    <w:rsid w:val="00BA1683"/>
    <w:rsid w:val="00CE0856"/>
    <w:rsid w:val="00D854F4"/>
    <w:rsid w:val="00F0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6A"/>
    <w:rPr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ell">
    <w:name w:val="Table cell"/>
    <w:aliases w:val="Ячейка таблицы"/>
    <w:autoRedefine/>
    <w:uiPriority w:val="99"/>
    <w:rsid w:val="00007E6A"/>
    <w:pPr>
      <w:keepNext/>
    </w:pPr>
    <w:rPr>
      <w:b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007E6A"/>
  </w:style>
  <w:style w:type="character" w:styleId="Hyperlink">
    <w:name w:val="Hyperlink"/>
    <w:basedOn w:val="DefaultParagraphFont"/>
    <w:uiPriority w:val="99"/>
    <w:semiHidden/>
    <w:rsid w:val="00007E6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07E6A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007E6A"/>
    <w:rPr>
      <w:rFonts w:cs="Times New Roman"/>
      <w:b/>
    </w:rPr>
  </w:style>
  <w:style w:type="table" w:styleId="TableGrid">
    <w:name w:val="Table Grid"/>
    <w:basedOn w:val="TableNormal"/>
    <w:uiPriority w:val="99"/>
    <w:rsid w:val="00007E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autoRedefine/>
    <w:uiPriority w:val="99"/>
    <w:qFormat/>
    <w:rsid w:val="001D05B4"/>
    <w:pPr>
      <w:keepNext/>
      <w:numPr>
        <w:numId w:val="2"/>
      </w:numPr>
      <w:contextualSpacing/>
      <w:jc w:val="both"/>
    </w:pPr>
    <w:rPr>
      <w:rFonts w:ascii="Palatino Linotype" w:hAnsi="Palatino Linotype"/>
      <w:sz w:val="24"/>
      <w:szCs w:val="24"/>
      <w:shd w:val="clear" w:color="auto" w:fill="FFFFFF"/>
    </w:rPr>
  </w:style>
  <w:style w:type="character" w:styleId="Emphasis">
    <w:name w:val="Emphasis"/>
    <w:basedOn w:val="DefaultParagraphFont"/>
    <w:uiPriority w:val="99"/>
    <w:qFormat/>
    <w:rsid w:val="00416F96"/>
    <w:rPr>
      <w:rFonts w:cs="Times New Roman"/>
      <w:i/>
      <w:iCs/>
    </w:rPr>
  </w:style>
  <w:style w:type="character" w:customStyle="1" w:styleId="e8tat7">
    <w:name w:val="e8tat7"/>
    <w:basedOn w:val="DefaultParagraphFont"/>
    <w:uiPriority w:val="99"/>
    <w:rsid w:val="00416F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16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F96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rsid w:val="00AF692A"/>
    <w:pPr>
      <w:widowControl w:val="0"/>
      <w:spacing w:line="300" w:lineRule="auto"/>
      <w:ind w:firstLine="280"/>
      <w:jc w:val="both"/>
    </w:pPr>
    <w:rPr>
      <w:rFonts w:ascii="Arial" w:eastAsia="Times New Roman" w:hAnsi="Arial"/>
      <w:sz w:val="1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0%B2%D1%8B%D0%BA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3%D0%BC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D%D0%B0%D0%BD%D0%B8%D1%8F" TargetMode="External"/><Relationship Id="rId5" Type="http://schemas.openxmlformats.org/officeDocument/2006/relationships/hyperlink" Target="https://ru.wikipedia.org/wiki/%D0%9F%D0%B5%D0%B4%D0%B0%D0%B3%D0%BE%D0%B3%D0%B8%D0%BA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320</Words>
  <Characters>1824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Вимоги до студентських презентаційних робіт та порядок виконання</dc:title>
  <dc:subject/>
  <dc:creator>TOSHIBA</dc:creator>
  <cp:keywords/>
  <dc:description/>
  <cp:lastModifiedBy>Виктория</cp:lastModifiedBy>
  <cp:revision>2</cp:revision>
  <dcterms:created xsi:type="dcterms:W3CDTF">2014-12-15T15:36:00Z</dcterms:created>
  <dcterms:modified xsi:type="dcterms:W3CDTF">2014-12-15T15:36:00Z</dcterms:modified>
</cp:coreProperties>
</file>