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B" w:rsidRPr="001662B6" w:rsidRDefault="00A35AEB" w:rsidP="00A35AEB">
      <w:pPr>
        <w:shd w:val="clear" w:color="auto" w:fill="FDFEFF"/>
        <w:spacing w:after="0" w:line="360" w:lineRule="auto"/>
        <w:ind w:left="284" w:firstLine="567"/>
        <w:jc w:val="both"/>
        <w:outlineLvl w:val="2"/>
        <w:rPr>
          <w:rFonts w:ascii="Times New Roman" w:hAnsi="Times New Roman" w:cs="Times New Roman"/>
          <w:b/>
          <w:sz w:val="28"/>
          <w:szCs w:val="28"/>
        </w:rPr>
      </w:pPr>
      <w:r w:rsidRPr="001662B6">
        <w:rPr>
          <w:rFonts w:ascii="Times New Roman" w:hAnsi="Times New Roman" w:cs="Times New Roman"/>
          <w:b/>
          <w:sz w:val="28"/>
          <w:szCs w:val="28"/>
        </w:rPr>
        <w:t xml:space="preserve">ЗМІСТ ІНДИВІДУАЛЬНОГО НАУКОВО-ДОСЛІДНОГО ЗАВДАННЯ (ІНДЗ)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Виконання ІНДЗ потребує від студентів пошуку повної, вичерпної відповіді на питання використання методів та конкретних методик психології праці, їх характеристики, особливостей обробки отриманих даних. ІНДЗ передбачає виконання теоретичного обґрунтування використання методів психології праці і практичного (</w:t>
      </w:r>
      <w:proofErr w:type="spellStart"/>
      <w:r w:rsidRPr="001662B6">
        <w:rPr>
          <w:rFonts w:ascii="Times New Roman" w:hAnsi="Times New Roman" w:cs="Times New Roman"/>
          <w:sz w:val="28"/>
          <w:szCs w:val="28"/>
        </w:rPr>
        <w:t>психодіагностичного</w:t>
      </w:r>
      <w:proofErr w:type="spellEnd"/>
      <w:r w:rsidRPr="001662B6">
        <w:rPr>
          <w:rFonts w:ascii="Times New Roman" w:hAnsi="Times New Roman" w:cs="Times New Roman"/>
          <w:sz w:val="28"/>
          <w:szCs w:val="28"/>
        </w:rPr>
        <w:t xml:space="preserve">) їх опрацювання. Індивідуальна робота студентів здійснюється під керівництвом викладача. Індивідуальні завдання виконуються самостійно і не входять до тижневого аудиторного навантаження студента. Викладач контролює виконання індивідуального завдання на консультаціях, графік яких розробляється і затверджується завідувачем кафедри на початку семестру. ІНДЗ складається з блоку </w:t>
      </w:r>
      <w:proofErr w:type="spellStart"/>
      <w:r w:rsidRPr="001662B6">
        <w:rPr>
          <w:rFonts w:ascii="Times New Roman" w:hAnsi="Times New Roman" w:cs="Times New Roman"/>
          <w:sz w:val="28"/>
          <w:szCs w:val="28"/>
        </w:rPr>
        <w:t>психодіагностичних</w:t>
      </w:r>
      <w:proofErr w:type="spellEnd"/>
      <w:r w:rsidRPr="001662B6">
        <w:rPr>
          <w:rFonts w:ascii="Times New Roman" w:hAnsi="Times New Roman" w:cs="Times New Roman"/>
          <w:sz w:val="28"/>
          <w:szCs w:val="28"/>
        </w:rPr>
        <w:t xml:space="preserve"> завдань, спрямованих на опрацювання методів і методик психології праці, виконання </w:t>
      </w:r>
      <w:proofErr w:type="spellStart"/>
      <w:r w:rsidRPr="001662B6">
        <w:rPr>
          <w:rFonts w:ascii="Times New Roman" w:hAnsi="Times New Roman" w:cs="Times New Roman"/>
          <w:sz w:val="28"/>
          <w:szCs w:val="28"/>
        </w:rPr>
        <w:t>психодіагностичних</w:t>
      </w:r>
      <w:proofErr w:type="spellEnd"/>
      <w:r w:rsidRPr="001662B6">
        <w:rPr>
          <w:rFonts w:ascii="Times New Roman" w:hAnsi="Times New Roman" w:cs="Times New Roman"/>
          <w:sz w:val="28"/>
          <w:szCs w:val="28"/>
        </w:rPr>
        <w:t xml:space="preserve"> досліджень за запропонованою тематикою.</w:t>
      </w:r>
    </w:p>
    <w:p w:rsidR="00A35AEB" w:rsidRPr="001662B6" w:rsidRDefault="00A35AEB" w:rsidP="00A35AEB">
      <w:pPr>
        <w:shd w:val="clear" w:color="auto" w:fill="FDFEFF"/>
        <w:spacing w:after="0" w:line="360" w:lineRule="auto"/>
        <w:ind w:left="284" w:firstLine="567"/>
        <w:jc w:val="center"/>
        <w:outlineLvl w:val="2"/>
        <w:rPr>
          <w:rFonts w:ascii="Times New Roman" w:hAnsi="Times New Roman" w:cs="Times New Roman"/>
          <w:b/>
          <w:sz w:val="28"/>
          <w:szCs w:val="28"/>
        </w:rPr>
      </w:pPr>
      <w:r w:rsidRPr="001662B6">
        <w:rPr>
          <w:rFonts w:ascii="Times New Roman" w:hAnsi="Times New Roman" w:cs="Times New Roman"/>
          <w:b/>
          <w:sz w:val="28"/>
          <w:szCs w:val="28"/>
        </w:rPr>
        <w:t>Блок завдань ІНДЗ</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1. Методи професійної діагностики у психології праці.</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2. Методи аналізу й обробки емпіричних даних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 Емпірико-пізнавальні методи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4. Методи корекції і конструктивного впливу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5. Методи вивчення здібностей.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6. Методи вивчення і шляхи профілактики нещасних випадків.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7. Методи дослідження мотивів.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8. Методи оцінки психічних станів людини.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9. Метод незалежних характеристик.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10. Лабораторний і природний експерименти (констатуюча і формуюча форми).</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11. Метод експертної оцінки (рейтинг).</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12. Методи опитування (бесіда, інтерв’ю, анкета).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13. Порівняльний метод.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14. </w:t>
      </w:r>
      <w:proofErr w:type="spellStart"/>
      <w:r w:rsidRPr="001662B6">
        <w:rPr>
          <w:rFonts w:ascii="Times New Roman" w:hAnsi="Times New Roman" w:cs="Times New Roman"/>
          <w:sz w:val="28"/>
          <w:szCs w:val="28"/>
        </w:rPr>
        <w:t>Лонгітюдний</w:t>
      </w:r>
      <w:proofErr w:type="spellEnd"/>
      <w:r w:rsidRPr="001662B6">
        <w:rPr>
          <w:rFonts w:ascii="Times New Roman" w:hAnsi="Times New Roman" w:cs="Times New Roman"/>
          <w:sz w:val="28"/>
          <w:szCs w:val="28"/>
        </w:rPr>
        <w:t xml:space="preserve"> і комплексний метод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lastRenderedPageBreak/>
        <w:t xml:space="preserve">15. Методи діагностики властивостей нервової системи (Я. </w:t>
      </w:r>
      <w:proofErr w:type="spellStart"/>
      <w:r w:rsidRPr="001662B6">
        <w:rPr>
          <w:rFonts w:ascii="Times New Roman" w:hAnsi="Times New Roman" w:cs="Times New Roman"/>
          <w:sz w:val="28"/>
          <w:szCs w:val="28"/>
        </w:rPr>
        <w:t>Стреляу</w:t>
      </w:r>
      <w:proofErr w:type="spellEnd"/>
      <w:r w:rsidRPr="001662B6">
        <w:rPr>
          <w:rFonts w:ascii="Times New Roman" w:hAnsi="Times New Roman" w:cs="Times New Roman"/>
          <w:sz w:val="28"/>
          <w:szCs w:val="28"/>
        </w:rPr>
        <w:t xml:space="preserve">, </w:t>
      </w:r>
      <w:proofErr w:type="spellStart"/>
      <w:r w:rsidRPr="001662B6">
        <w:rPr>
          <w:rFonts w:ascii="Times New Roman" w:hAnsi="Times New Roman" w:cs="Times New Roman"/>
          <w:sz w:val="28"/>
          <w:szCs w:val="28"/>
        </w:rPr>
        <w:t>рефлексометр</w:t>
      </w:r>
      <w:proofErr w:type="spellEnd"/>
      <w:r w:rsidRPr="001662B6">
        <w:rPr>
          <w:rFonts w:ascii="Times New Roman" w:hAnsi="Times New Roman" w:cs="Times New Roman"/>
          <w:sz w:val="28"/>
          <w:szCs w:val="28"/>
        </w:rPr>
        <w:t>).</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16. Методи вивчення </w:t>
      </w:r>
      <w:proofErr w:type="spellStart"/>
      <w:r w:rsidRPr="001662B6">
        <w:rPr>
          <w:rFonts w:ascii="Times New Roman" w:hAnsi="Times New Roman" w:cs="Times New Roman"/>
          <w:sz w:val="28"/>
          <w:szCs w:val="28"/>
        </w:rPr>
        <w:t>психомоторики</w:t>
      </w:r>
      <w:proofErr w:type="spellEnd"/>
      <w:r w:rsidRPr="001662B6">
        <w:rPr>
          <w:rFonts w:ascii="Times New Roman" w:hAnsi="Times New Roman" w:cs="Times New Roman"/>
          <w:sz w:val="28"/>
          <w:szCs w:val="28"/>
        </w:rPr>
        <w:t xml:space="preserve">.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17. Методи вивчення рівня інтелектуального розвитку професіонала.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18. Методи вивчення властивостей темпераменту.</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19. Методи вивчення індивідуальних особливостей мотиваційної сфери і характеру.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20. Трудовий метод.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21. Біографічний метод.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22. Метод аналізу документації.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23. Метод експертизи.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24. Моделювання й експеримент.</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25. Метод алгоритмічного опису професії.</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26. Проективні методи.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27. Психологічний консиліум.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28. Методи дослідження і способи оптимізації соціально-психологічного клімату у трудовому колективі.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29. Психологічні методи корекції і профілактики несприятливих функціональних станів.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30. Психодіагностика мотиваційних чинників працевлаштування.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31. Діагностика рівня професійної готовності людини.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32. Призначення і сфери використання методики К. Л. </w:t>
      </w:r>
      <w:proofErr w:type="spellStart"/>
      <w:r w:rsidRPr="001662B6">
        <w:rPr>
          <w:rFonts w:ascii="Times New Roman" w:hAnsi="Times New Roman" w:cs="Times New Roman"/>
          <w:sz w:val="28"/>
          <w:szCs w:val="28"/>
        </w:rPr>
        <w:t>Вілсона</w:t>
      </w:r>
      <w:proofErr w:type="spellEnd"/>
      <w:r w:rsidRPr="001662B6">
        <w:rPr>
          <w:rFonts w:ascii="Times New Roman" w:hAnsi="Times New Roman" w:cs="Times New Roman"/>
          <w:sz w:val="28"/>
          <w:szCs w:val="28"/>
        </w:rPr>
        <w:t xml:space="preserve"> «Цикл управлінських умінь».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33. Призначення і сфери використання методики дослідження ціннісних орієнтацій («Ціннісні орієнтації» М. </w:t>
      </w:r>
      <w:proofErr w:type="spellStart"/>
      <w:r w:rsidRPr="001662B6">
        <w:rPr>
          <w:rFonts w:ascii="Times New Roman" w:hAnsi="Times New Roman" w:cs="Times New Roman"/>
          <w:sz w:val="28"/>
          <w:szCs w:val="28"/>
        </w:rPr>
        <w:t>Рокіча</w:t>
      </w:r>
      <w:proofErr w:type="spellEnd"/>
      <w:r w:rsidRPr="001662B6">
        <w:rPr>
          <w:rFonts w:ascii="Times New Roman" w:hAnsi="Times New Roman" w:cs="Times New Roman"/>
          <w:sz w:val="28"/>
          <w:szCs w:val="28"/>
        </w:rPr>
        <w:t xml:space="preserve">).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34. Призначення і сфери використання методики КВТ (Короткий відбірний тест) В. </w:t>
      </w:r>
      <w:proofErr w:type="spellStart"/>
      <w:r w:rsidRPr="001662B6">
        <w:rPr>
          <w:rFonts w:ascii="Times New Roman" w:hAnsi="Times New Roman" w:cs="Times New Roman"/>
          <w:sz w:val="28"/>
          <w:szCs w:val="28"/>
        </w:rPr>
        <w:t>Вандерліка</w:t>
      </w:r>
      <w:proofErr w:type="spellEnd"/>
      <w:r w:rsidRPr="001662B6">
        <w:rPr>
          <w:rFonts w:ascii="Times New Roman" w:hAnsi="Times New Roman" w:cs="Times New Roman"/>
          <w:sz w:val="28"/>
          <w:szCs w:val="28"/>
        </w:rPr>
        <w:t xml:space="preserve">.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35. Призначення і сфери використання методики «Аналіз обмежень» (дослідження психологічних обмежень керівників) М. </w:t>
      </w:r>
      <w:proofErr w:type="spellStart"/>
      <w:r w:rsidRPr="001662B6">
        <w:rPr>
          <w:rFonts w:ascii="Times New Roman" w:hAnsi="Times New Roman" w:cs="Times New Roman"/>
          <w:sz w:val="28"/>
          <w:szCs w:val="28"/>
        </w:rPr>
        <w:t>Вудкока</w:t>
      </w:r>
      <w:proofErr w:type="spellEnd"/>
      <w:r w:rsidRPr="001662B6">
        <w:rPr>
          <w:rFonts w:ascii="Times New Roman" w:hAnsi="Times New Roman" w:cs="Times New Roman"/>
          <w:sz w:val="28"/>
          <w:szCs w:val="28"/>
        </w:rPr>
        <w:t xml:space="preserve"> і Д. </w:t>
      </w:r>
      <w:proofErr w:type="spellStart"/>
      <w:r w:rsidRPr="001662B6">
        <w:rPr>
          <w:rFonts w:ascii="Times New Roman" w:hAnsi="Times New Roman" w:cs="Times New Roman"/>
          <w:sz w:val="28"/>
          <w:szCs w:val="28"/>
        </w:rPr>
        <w:t>Френсіса</w:t>
      </w:r>
      <w:proofErr w:type="spellEnd"/>
      <w:r w:rsidRPr="001662B6">
        <w:rPr>
          <w:rFonts w:ascii="Times New Roman" w:hAnsi="Times New Roman" w:cs="Times New Roman"/>
          <w:sz w:val="28"/>
          <w:szCs w:val="28"/>
        </w:rPr>
        <w:t xml:space="preserve">.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36. Призначення і сфери використання методики «Кар’єрні якорі» Е. </w:t>
      </w:r>
      <w:proofErr w:type="spellStart"/>
      <w:r w:rsidRPr="001662B6">
        <w:rPr>
          <w:rFonts w:ascii="Times New Roman" w:hAnsi="Times New Roman" w:cs="Times New Roman"/>
          <w:sz w:val="28"/>
          <w:szCs w:val="28"/>
        </w:rPr>
        <w:t>Шейна</w:t>
      </w:r>
      <w:proofErr w:type="spellEnd"/>
      <w:r w:rsidRPr="001662B6">
        <w:rPr>
          <w:rFonts w:ascii="Times New Roman" w:hAnsi="Times New Roman" w:cs="Times New Roman"/>
          <w:sz w:val="28"/>
          <w:szCs w:val="28"/>
        </w:rPr>
        <w:t xml:space="preserve">.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lastRenderedPageBreak/>
        <w:t xml:space="preserve">37. Призначення і сфери використання методики діагностики ціннісних орієнтацій в кар’єрі «Якорі кар’єри» (адаптація В. </w:t>
      </w:r>
      <w:proofErr w:type="spellStart"/>
      <w:r w:rsidRPr="001662B6">
        <w:rPr>
          <w:rFonts w:ascii="Times New Roman" w:hAnsi="Times New Roman" w:cs="Times New Roman"/>
          <w:sz w:val="28"/>
          <w:szCs w:val="28"/>
        </w:rPr>
        <w:t>Чікера</w:t>
      </w:r>
      <w:proofErr w:type="spellEnd"/>
      <w:r w:rsidRPr="001662B6">
        <w:rPr>
          <w:rFonts w:ascii="Times New Roman" w:hAnsi="Times New Roman" w:cs="Times New Roman"/>
          <w:sz w:val="28"/>
          <w:szCs w:val="28"/>
        </w:rPr>
        <w:t xml:space="preserve"> і В. </w:t>
      </w:r>
      <w:proofErr w:type="spellStart"/>
      <w:r w:rsidRPr="001662B6">
        <w:rPr>
          <w:rFonts w:ascii="Times New Roman" w:hAnsi="Times New Roman" w:cs="Times New Roman"/>
          <w:sz w:val="28"/>
          <w:szCs w:val="28"/>
        </w:rPr>
        <w:t>Винокурова</w:t>
      </w:r>
      <w:proofErr w:type="spellEnd"/>
      <w:r w:rsidRPr="001662B6">
        <w:rPr>
          <w:rFonts w:ascii="Times New Roman" w:hAnsi="Times New Roman" w:cs="Times New Roman"/>
          <w:sz w:val="28"/>
          <w:szCs w:val="28"/>
        </w:rPr>
        <w:t xml:space="preserve"> методики Е. </w:t>
      </w:r>
      <w:proofErr w:type="spellStart"/>
      <w:r w:rsidRPr="001662B6">
        <w:rPr>
          <w:rFonts w:ascii="Times New Roman" w:hAnsi="Times New Roman" w:cs="Times New Roman"/>
          <w:sz w:val="28"/>
          <w:szCs w:val="28"/>
        </w:rPr>
        <w:t>Шейна</w:t>
      </w:r>
      <w:proofErr w:type="spellEnd"/>
      <w:r w:rsidRPr="001662B6">
        <w:rPr>
          <w:rFonts w:ascii="Times New Roman" w:hAnsi="Times New Roman" w:cs="Times New Roman"/>
          <w:sz w:val="28"/>
          <w:szCs w:val="28"/>
        </w:rPr>
        <w:t xml:space="preserve">).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38. Призначення і сфери використання методики Л. А. </w:t>
      </w:r>
      <w:proofErr w:type="spellStart"/>
      <w:r w:rsidRPr="001662B6">
        <w:rPr>
          <w:rFonts w:ascii="Times New Roman" w:hAnsi="Times New Roman" w:cs="Times New Roman"/>
          <w:sz w:val="28"/>
          <w:szCs w:val="28"/>
        </w:rPr>
        <w:t>Йовайши</w:t>
      </w:r>
      <w:proofErr w:type="spellEnd"/>
      <w:r w:rsidRPr="001662B6">
        <w:rPr>
          <w:rFonts w:ascii="Times New Roman" w:hAnsi="Times New Roman" w:cs="Times New Roman"/>
          <w:sz w:val="28"/>
          <w:szCs w:val="28"/>
        </w:rPr>
        <w:t xml:space="preserve"> «Що мені подобається ?».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39. Призначення і сфери використання методики типології особистості І. </w:t>
      </w:r>
      <w:proofErr w:type="spellStart"/>
      <w:r w:rsidRPr="001662B6">
        <w:rPr>
          <w:rFonts w:ascii="Times New Roman" w:hAnsi="Times New Roman" w:cs="Times New Roman"/>
          <w:sz w:val="28"/>
          <w:szCs w:val="28"/>
        </w:rPr>
        <w:t>Майерс</w:t>
      </w:r>
      <w:proofErr w:type="spellEnd"/>
      <w:r w:rsidRPr="001662B6">
        <w:rPr>
          <w:rFonts w:ascii="Times New Roman" w:hAnsi="Times New Roman" w:cs="Times New Roman"/>
          <w:sz w:val="28"/>
          <w:szCs w:val="28"/>
        </w:rPr>
        <w:t xml:space="preserve">, К. </w:t>
      </w:r>
      <w:proofErr w:type="spellStart"/>
      <w:r w:rsidRPr="001662B6">
        <w:rPr>
          <w:rFonts w:ascii="Times New Roman" w:hAnsi="Times New Roman" w:cs="Times New Roman"/>
          <w:sz w:val="28"/>
          <w:szCs w:val="28"/>
        </w:rPr>
        <w:t>Бріггс</w:t>
      </w:r>
      <w:proofErr w:type="spellEnd"/>
      <w:r w:rsidRPr="001662B6">
        <w:rPr>
          <w:rFonts w:ascii="Times New Roman" w:hAnsi="Times New Roman" w:cs="Times New Roman"/>
          <w:sz w:val="28"/>
          <w:szCs w:val="28"/>
        </w:rPr>
        <w:t xml:space="preserve"> «MBTI» (Myers-Briggs </w:t>
      </w:r>
      <w:proofErr w:type="spellStart"/>
      <w:r w:rsidRPr="001662B6">
        <w:rPr>
          <w:rFonts w:ascii="Times New Roman" w:hAnsi="Times New Roman" w:cs="Times New Roman"/>
          <w:sz w:val="28"/>
          <w:szCs w:val="28"/>
        </w:rPr>
        <w:t>Type</w:t>
      </w:r>
      <w:proofErr w:type="spellEnd"/>
      <w:r w:rsidRPr="001662B6">
        <w:rPr>
          <w:rFonts w:ascii="Times New Roman" w:hAnsi="Times New Roman" w:cs="Times New Roman"/>
          <w:sz w:val="28"/>
          <w:szCs w:val="28"/>
        </w:rPr>
        <w:t xml:space="preserve"> </w:t>
      </w:r>
      <w:proofErr w:type="spellStart"/>
      <w:r w:rsidRPr="001662B6">
        <w:rPr>
          <w:rFonts w:ascii="Times New Roman" w:hAnsi="Times New Roman" w:cs="Times New Roman"/>
          <w:sz w:val="28"/>
          <w:szCs w:val="28"/>
        </w:rPr>
        <w:t>Indicator</w:t>
      </w:r>
      <w:proofErr w:type="spellEnd"/>
      <w:r w:rsidRPr="001662B6">
        <w:rPr>
          <w:rFonts w:ascii="Times New Roman" w:hAnsi="Times New Roman" w:cs="Times New Roman"/>
          <w:sz w:val="28"/>
          <w:szCs w:val="28"/>
        </w:rPr>
        <w:t>).</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40. Призначення і сфери використання методики «ОПГ» (опитувальник професійної готовності) Л. </w:t>
      </w:r>
      <w:proofErr w:type="spellStart"/>
      <w:r w:rsidRPr="001662B6">
        <w:rPr>
          <w:rFonts w:ascii="Times New Roman" w:hAnsi="Times New Roman" w:cs="Times New Roman"/>
          <w:sz w:val="28"/>
          <w:szCs w:val="28"/>
        </w:rPr>
        <w:t>Кабардової</w:t>
      </w:r>
      <w:proofErr w:type="spellEnd"/>
      <w:r w:rsidRPr="001662B6">
        <w:rPr>
          <w:rFonts w:ascii="Times New Roman" w:hAnsi="Times New Roman" w:cs="Times New Roman"/>
          <w:sz w:val="28"/>
          <w:szCs w:val="28"/>
        </w:rPr>
        <w:t>.</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41. Призначення і сфери використання методики «ОПС» (опитувальник професійної спрямованості) Дж. </w:t>
      </w:r>
      <w:proofErr w:type="spellStart"/>
      <w:r w:rsidRPr="001662B6">
        <w:rPr>
          <w:rFonts w:ascii="Times New Roman" w:hAnsi="Times New Roman" w:cs="Times New Roman"/>
          <w:sz w:val="28"/>
          <w:szCs w:val="28"/>
        </w:rPr>
        <w:t>Голланда</w:t>
      </w:r>
      <w:proofErr w:type="spellEnd"/>
      <w:r w:rsidRPr="001662B6">
        <w:rPr>
          <w:rFonts w:ascii="Times New Roman" w:hAnsi="Times New Roman" w:cs="Times New Roman"/>
          <w:sz w:val="28"/>
          <w:szCs w:val="28"/>
        </w:rPr>
        <w:t>.</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42. Призначення і сфери використання методики «Карта інтересів» О. </w:t>
      </w:r>
      <w:proofErr w:type="spellStart"/>
      <w:r w:rsidRPr="001662B6">
        <w:rPr>
          <w:rFonts w:ascii="Times New Roman" w:hAnsi="Times New Roman" w:cs="Times New Roman"/>
          <w:sz w:val="28"/>
          <w:szCs w:val="28"/>
        </w:rPr>
        <w:t>Голомштока</w:t>
      </w:r>
      <w:proofErr w:type="spellEnd"/>
      <w:r w:rsidRPr="001662B6">
        <w:rPr>
          <w:rFonts w:ascii="Times New Roman" w:hAnsi="Times New Roman" w:cs="Times New Roman"/>
          <w:sz w:val="28"/>
          <w:szCs w:val="28"/>
        </w:rPr>
        <w:t xml:space="preserve">.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43. Призначення і сфери використання методики «Профіль» Г. </w:t>
      </w:r>
      <w:proofErr w:type="spellStart"/>
      <w:r w:rsidRPr="001662B6">
        <w:rPr>
          <w:rFonts w:ascii="Times New Roman" w:hAnsi="Times New Roman" w:cs="Times New Roman"/>
          <w:sz w:val="28"/>
          <w:szCs w:val="28"/>
        </w:rPr>
        <w:t>Резапкіної</w:t>
      </w:r>
      <w:proofErr w:type="spellEnd"/>
      <w:r w:rsidRPr="001662B6">
        <w:rPr>
          <w:rFonts w:ascii="Times New Roman" w:hAnsi="Times New Roman" w:cs="Times New Roman"/>
          <w:sz w:val="28"/>
          <w:szCs w:val="28"/>
        </w:rPr>
        <w:t>.</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44. Призначення і сфери використання методики діагностики невербальної креативності (методика Е. </w:t>
      </w:r>
      <w:proofErr w:type="spellStart"/>
      <w:r w:rsidRPr="001662B6">
        <w:rPr>
          <w:rFonts w:ascii="Times New Roman" w:hAnsi="Times New Roman" w:cs="Times New Roman"/>
          <w:sz w:val="28"/>
          <w:szCs w:val="28"/>
        </w:rPr>
        <w:t>Торренса</w:t>
      </w:r>
      <w:proofErr w:type="spellEnd"/>
      <w:r w:rsidRPr="001662B6">
        <w:rPr>
          <w:rFonts w:ascii="Times New Roman" w:hAnsi="Times New Roman" w:cs="Times New Roman"/>
          <w:sz w:val="28"/>
          <w:szCs w:val="28"/>
        </w:rPr>
        <w:t xml:space="preserve"> модифікована О. Вороніним).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45. Призначення і сфери використання методики діагностики міжособистісних відносин Т. Лірі.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46. Призначення і сфери використання методики дослідження особистісного фактору прийняття рішення в ситуації невизначеності (ризи</w:t>
      </w:r>
      <w:r>
        <w:rPr>
          <w:rFonts w:ascii="Times New Roman" w:hAnsi="Times New Roman" w:cs="Times New Roman"/>
          <w:sz w:val="28"/>
          <w:szCs w:val="28"/>
        </w:rPr>
        <w:t xml:space="preserve">ку) «ОФР-25» Т. В. Корнілова.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47. Призначення і сфери використання методик дослідження мислення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48. Призначення і сфери використання методик дослідження пам’яті у психології праці.</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49. Призначення і сфери використання методик дослідження творчого потенціалу у психології праці.</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50. Призначення і сфери використання методик дослідження інтелекту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lastRenderedPageBreak/>
        <w:t>51. Призначення і сфери використання методик дослідження уваги у психології праці.</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52. Призначення і сфери використання методик дослідження уяви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53. Призначення і сфери використання методик дослідження особливостей сприйняття у психології праці.</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54. Призначення і сфери використання методик дослідження особливостей мислення суб’єктів праці мислення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55. Призначення і сфери використання методик дослідження вольових якостей суб’єктів праці у психології праці.</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 56. Призначення і сфери використання методик дослідження темпераменту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bookmarkStart w:id="0" w:name="_GoBack"/>
      <w:bookmarkEnd w:id="0"/>
      <w:r w:rsidRPr="001662B6">
        <w:rPr>
          <w:rFonts w:ascii="Times New Roman" w:hAnsi="Times New Roman" w:cs="Times New Roman"/>
          <w:sz w:val="28"/>
          <w:szCs w:val="28"/>
        </w:rPr>
        <w:t xml:space="preserve">57. Призначення і сфери використання методик дослідження характеру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58. Призначення і сфери використання методик дослідження здібностей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59. Призначення і сфери використання методик дослідження професійної спрямованості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r w:rsidRPr="001662B6">
        <w:rPr>
          <w:rFonts w:ascii="Times New Roman" w:hAnsi="Times New Roman" w:cs="Times New Roman"/>
          <w:sz w:val="28"/>
          <w:szCs w:val="28"/>
        </w:rPr>
        <w:t xml:space="preserve">60. Призначення і сфери використання методик дослідження міжособистісних стосунків у психології праці. </w:t>
      </w: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35AEB" w:rsidRDefault="00A35AEB" w:rsidP="00A35AEB">
      <w:pPr>
        <w:shd w:val="clear" w:color="auto" w:fill="FDFEFF"/>
        <w:spacing w:after="0" w:line="360" w:lineRule="auto"/>
        <w:ind w:left="284" w:firstLine="567"/>
        <w:jc w:val="both"/>
        <w:outlineLvl w:val="2"/>
        <w:rPr>
          <w:rFonts w:ascii="Times New Roman" w:hAnsi="Times New Roman" w:cs="Times New Roman"/>
          <w:sz w:val="28"/>
          <w:szCs w:val="28"/>
        </w:rPr>
      </w:pPr>
    </w:p>
    <w:p w:rsidR="00A831A2" w:rsidRDefault="00A831A2"/>
    <w:sectPr w:rsidR="00A831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5B"/>
    <w:rsid w:val="00A35AEB"/>
    <w:rsid w:val="00A831A2"/>
    <w:rsid w:val="00BC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3484</Words>
  <Characters>1986</Characters>
  <Application>Microsoft Office Word</Application>
  <DocSecurity>0</DocSecurity>
  <Lines>16</Lines>
  <Paragraphs>10</Paragraphs>
  <ScaleCrop>false</ScaleCrop>
  <Company>SPecialiST RePack</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2021-02-14T14:53:00Z</dcterms:created>
  <dcterms:modified xsi:type="dcterms:W3CDTF">2021-02-14T14:53:00Z</dcterms:modified>
</cp:coreProperties>
</file>