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69" w:rsidRPr="00810A52" w:rsidRDefault="00380969" w:rsidP="003809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10A52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810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A52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810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A52">
        <w:rPr>
          <w:rFonts w:ascii="Times New Roman" w:hAnsi="Times New Roman" w:cs="Times New Roman"/>
          <w:b/>
          <w:sz w:val="28"/>
          <w:szCs w:val="28"/>
        </w:rPr>
        <w:t>дисципліни</w:t>
      </w:r>
      <w:proofErr w:type="spellEnd"/>
      <w:r w:rsidRPr="00810A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969" w:rsidRPr="00380969" w:rsidRDefault="00466BCC" w:rsidP="003809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466BCC">
        <w:rPr>
          <w:rFonts w:ascii="Times New Roman" w:hAnsi="Times New Roman" w:cs="Times New Roman"/>
          <w:b/>
          <w:sz w:val="28"/>
          <w:szCs w:val="28"/>
          <w:lang w:val="uk-UA"/>
        </w:rPr>
        <w:t>Практика перекладу основної іноземної мови</w:t>
      </w:r>
      <w:r w:rsidR="0038096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80969" w:rsidRPr="00810A52" w:rsidRDefault="00380969" w:rsidP="003809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A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10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Спеціальність: </w:t>
      </w:r>
      <w:r w:rsidR="0064456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035 Філологія  (Переклад)</w:t>
      </w:r>
    </w:p>
    <w:p w:rsidR="00380969" w:rsidRDefault="00380969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  <w:r w:rsidRPr="00810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Галузь знань: </w:t>
      </w:r>
      <w:r w:rsidR="006C16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03 «</w:t>
      </w:r>
      <w:r w:rsidR="00077F4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Гуманітарні науки</w:t>
      </w:r>
      <w:r w:rsidRPr="00810A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»</w:t>
      </w:r>
    </w:p>
    <w:p w:rsidR="00380969" w:rsidRDefault="00380969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380969" w:rsidRPr="00810A52" w:rsidRDefault="00380969" w:rsidP="00902C3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380969" w:rsidRPr="00F72F5E" w:rsidRDefault="00380969" w:rsidP="00380969">
      <w:pPr>
        <w:spacing w:after="0" w:line="240" w:lineRule="auto"/>
        <w:jc w:val="right"/>
        <w:rPr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івень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вищої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5494" w:type="dxa"/>
          </w:tcPr>
          <w:p w:rsidR="00380969" w:rsidRPr="001A4F36" w:rsidRDefault="00466BCC" w:rsidP="00AA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Другий</w:t>
            </w:r>
            <w:r w:rsidR="00380969" w:rsidRPr="001A4F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80969" w:rsidRPr="001A4F3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uk-UA"/>
              </w:rPr>
              <w:t>магісте</w:t>
            </w:r>
            <w:r w:rsidR="00380969" w:rsidRPr="001A4F36">
              <w:rPr>
                <w:rFonts w:ascii="Times New Roman" w:hAnsi="Times New Roman" w:cs="Times New Roman"/>
                <w:lang w:val="uk-UA"/>
              </w:rPr>
              <w:t>р</w:t>
            </w:r>
            <w:r w:rsidR="00380969">
              <w:rPr>
                <w:rFonts w:ascii="Times New Roman" w:hAnsi="Times New Roman" w:cs="Times New Roman"/>
                <w:lang w:val="uk-UA"/>
              </w:rPr>
              <w:t>ський</w:t>
            </w:r>
            <w:r w:rsidR="00380969" w:rsidRPr="001A4F36">
              <w:rPr>
                <w:rFonts w:ascii="Times New Roman" w:hAnsi="Times New Roman" w:cs="Times New Roman"/>
              </w:rPr>
              <w:t>)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5494" w:type="dxa"/>
          </w:tcPr>
          <w:p w:rsidR="00380969" w:rsidRPr="001A4F36" w:rsidRDefault="00380969" w:rsidP="00AA6A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Навчальна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обов’</w:t>
            </w:r>
            <w:r w:rsidRPr="007F0501">
              <w:rPr>
                <w:rFonts w:ascii="Times New Roman" w:hAnsi="Times New Roman" w:cs="Times New Roman"/>
              </w:rPr>
              <w:t>зкового</w:t>
            </w:r>
            <w:proofErr w:type="spellEnd"/>
            <w:r w:rsidRPr="001A4F36">
              <w:rPr>
                <w:rFonts w:ascii="Times New Roman" w:hAnsi="Times New Roman" w:cs="Times New Roman"/>
              </w:rPr>
              <w:t xml:space="preserve"> компонента </w:t>
            </w:r>
            <w:proofErr w:type="spellStart"/>
            <w:r w:rsidRPr="001A4F36">
              <w:rPr>
                <w:rFonts w:ascii="Times New Roman" w:hAnsi="Times New Roman" w:cs="Times New Roman"/>
              </w:rPr>
              <w:t>з</w:t>
            </w:r>
            <w:proofErr w:type="spellEnd"/>
            <w:r w:rsidRPr="001A4F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F36">
              <w:rPr>
                <w:rFonts w:ascii="Times New Roman" w:hAnsi="Times New Roman" w:cs="Times New Roman"/>
              </w:rPr>
              <w:t>фахового</w:t>
            </w:r>
            <w:proofErr w:type="spellEnd"/>
            <w:r w:rsidRPr="001A4F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F36">
              <w:rPr>
                <w:rFonts w:ascii="Times New Roman" w:hAnsi="Times New Roman" w:cs="Times New Roman"/>
              </w:rPr>
              <w:t>переліку</w:t>
            </w:r>
            <w:proofErr w:type="spellEnd"/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5494" w:type="dxa"/>
          </w:tcPr>
          <w:p w:rsidR="00380969" w:rsidRPr="001A4F36" w:rsidRDefault="00380969" w:rsidP="00AA6AD9">
            <w:pPr>
              <w:rPr>
                <w:rFonts w:ascii="Times New Roman" w:hAnsi="Times New Roman" w:cs="Times New Roman"/>
              </w:rPr>
            </w:pPr>
            <w:r w:rsidRPr="001A4F36">
              <w:rPr>
                <w:rFonts w:ascii="Times New Roman" w:hAnsi="Times New Roman" w:cs="Times New Roman"/>
                <w:lang w:val="uk-UA"/>
              </w:rPr>
              <w:t>І</w:t>
            </w:r>
            <w:r w:rsidR="00466BCC">
              <w:rPr>
                <w:rFonts w:ascii="Times New Roman" w:hAnsi="Times New Roman" w:cs="Times New Roman"/>
                <w:lang w:val="en-US"/>
              </w:rPr>
              <w:t>-I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1A4F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(другий</w:t>
            </w:r>
            <w:r w:rsidRPr="001A4F36">
              <w:rPr>
                <w:rFonts w:ascii="Times New Roman" w:hAnsi="Times New Roman" w:cs="Times New Roman"/>
              </w:rPr>
              <w:t>)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кредити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ЄКТС/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</w:t>
            </w:r>
          </w:p>
        </w:tc>
        <w:tc>
          <w:tcPr>
            <w:tcW w:w="5494" w:type="dxa"/>
          </w:tcPr>
          <w:p w:rsidR="00380969" w:rsidRPr="00466BCC" w:rsidRDefault="00466BCC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Мова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викладання</w:t>
            </w:r>
            <w:proofErr w:type="spellEnd"/>
          </w:p>
        </w:tc>
        <w:tc>
          <w:tcPr>
            <w:tcW w:w="5494" w:type="dxa"/>
          </w:tcPr>
          <w:p w:rsidR="00380969" w:rsidRPr="001A4F36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1A4F36">
              <w:rPr>
                <w:rFonts w:ascii="Times New Roman" w:hAnsi="Times New Roman" w:cs="Times New Roman"/>
                <w:lang w:val="uk-UA"/>
              </w:rPr>
              <w:t>країнська</w:t>
            </w:r>
            <w:r w:rsidR="00466BCC">
              <w:rPr>
                <w:rFonts w:ascii="Times New Roman" w:hAnsi="Times New Roman" w:cs="Times New Roman"/>
                <w:lang w:val="uk-UA"/>
              </w:rPr>
              <w:t>, англійська</w:t>
            </w:r>
          </w:p>
        </w:tc>
      </w:tr>
      <w:tr w:rsidR="00380969" w:rsidRPr="007F0501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Що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буде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вивчатися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380969" w:rsidRPr="00902C3C" w:rsidRDefault="00466BCC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2C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Предметом вивчення навчальної дисципліни є англомовні та україномовні тексти з різних галузей</w:t>
            </w:r>
          </w:p>
          <w:p w:rsidR="00380969" w:rsidRPr="00380969" w:rsidRDefault="00380969" w:rsidP="00380969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380969" w:rsidRPr="001A4F36" w:rsidRDefault="00380969" w:rsidP="00380969">
            <w:pPr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0969" w:rsidRPr="00902C3C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Чому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це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цікаво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потрібно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вивчати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(мета)</w:t>
            </w:r>
          </w:p>
        </w:tc>
        <w:tc>
          <w:tcPr>
            <w:tcW w:w="5494" w:type="dxa"/>
          </w:tcPr>
          <w:p w:rsidR="00380969" w:rsidRPr="00466BCC" w:rsidRDefault="00466BCC" w:rsidP="00902C3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466B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Метою викладання навчальної дисципліни «Практика перекладу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основної іноземної мови</w:t>
            </w:r>
            <w:r w:rsidRPr="00466B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є формування у студентів фахової компетенції перекладу англомовних та україномовних галузевих текстів.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Чому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можна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навчитися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380969" w:rsidRPr="00C97FD9" w:rsidRDefault="00466BCC" w:rsidP="00275C6D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66BCC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здійснення  адекватного перекладу термінологічних одиниць вихідних галузевих текстів засобами цільової мови;</w:t>
            </w:r>
            <w:r w:rsidR="00275C6D" w:rsidRPr="00275C6D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виявлення структурно-семантичних розбіжностей фахових галузевих текстів різних стилів і жанрів;</w:t>
            </w:r>
            <w:r w:rsidR="00275C6D">
              <w:t xml:space="preserve"> </w:t>
            </w:r>
            <w:r w:rsidR="00275C6D" w:rsidRPr="00275C6D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визначення жанрових, стилістичних  та композиційних особливостей фахових галузевих текстів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можна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користуватися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набутими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знаннями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вміннями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380969" w:rsidRPr="00275C6D" w:rsidRDefault="00275C6D" w:rsidP="00275C6D">
            <w:pPr>
              <w:pStyle w:val="a6"/>
              <w:spacing w:after="0" w:line="252" w:lineRule="atLeast"/>
              <w:jc w:val="both"/>
              <w:rPr>
                <w:lang w:val="uk-UA"/>
              </w:rPr>
            </w:pPr>
            <w:r w:rsidRPr="00275C6D">
              <w:rPr>
                <w:lang w:val="uk-UA"/>
              </w:rPr>
              <w:t>оволодіння вміннями та навичками, стратегіями перекладу фахових         науково-технічних та науково-популярних текстів за тематикою;</w:t>
            </w:r>
            <w:r>
              <w:rPr>
                <w:lang w:val="uk-UA"/>
              </w:rPr>
              <w:t xml:space="preserve"> </w:t>
            </w:r>
            <w:r w:rsidRPr="00275C6D">
              <w:rPr>
                <w:lang w:val="uk-UA"/>
              </w:rPr>
              <w:t>формування навичок письмового перекладу науково-технічної літератури з англійської мови на українську та навпаки;</w:t>
            </w:r>
            <w:r>
              <w:rPr>
                <w:lang w:val="uk-UA"/>
              </w:rPr>
              <w:t xml:space="preserve"> </w:t>
            </w:r>
            <w:r w:rsidRPr="00275C6D">
              <w:rPr>
                <w:lang w:val="uk-UA"/>
              </w:rPr>
              <w:t>вміння перекладати усно і з аркуша (без попередньої підготовки) з англійської на рідну і з рідної на англійську мови тексти науково-технічного характеру;</w:t>
            </w:r>
          </w:p>
        </w:tc>
      </w:tr>
      <w:tr w:rsidR="00380969" w:rsidRPr="002D7FD1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логістика</w:t>
            </w:r>
            <w:proofErr w:type="spellEnd"/>
          </w:p>
        </w:tc>
        <w:tc>
          <w:tcPr>
            <w:tcW w:w="5494" w:type="dxa"/>
          </w:tcPr>
          <w:p w:rsidR="00380969" w:rsidRDefault="00380969" w:rsidP="00AA6AD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>Змі</w:t>
            </w:r>
            <w:proofErr w:type="gramStart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C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80969" w:rsidRDefault="00380969" w:rsidP="00275C6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809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Змістовий модуль 1. </w:t>
            </w:r>
            <w:r w:rsidR="00275C6D" w:rsidRPr="00275C6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Жанрово-стилістичні проблеми перекладу</w:t>
            </w:r>
          </w:p>
          <w:p w:rsidR="00275C6D" w:rsidRPr="00380969" w:rsidRDefault="00275C6D" w:rsidP="00275C6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tbl>
            <w:tblPr>
              <w:tblW w:w="0" w:type="auto"/>
              <w:tblLook w:val="04A0"/>
            </w:tblPr>
            <w:tblGrid>
              <w:gridCol w:w="5278"/>
            </w:tblGrid>
            <w:tr w:rsidR="00275C6D" w:rsidRPr="00A72B89" w:rsidTr="00902C3C">
              <w:tc>
                <w:tcPr>
                  <w:tcW w:w="5386" w:type="dxa"/>
                </w:tcPr>
                <w:p w:rsidR="00275C6D" w:rsidRPr="00275C6D" w:rsidRDefault="00275C6D" w:rsidP="00094E40">
                  <w:pPr>
                    <w:pStyle w:val="a9"/>
                    <w:spacing w:line="276" w:lineRule="auto"/>
                    <w:jc w:val="both"/>
                    <w:rPr>
                      <w:b w:val="0"/>
                      <w:bCs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b w:val="0"/>
                      <w:bCs w:val="0"/>
                      <w:sz w:val="22"/>
                      <w:szCs w:val="22"/>
                      <w:lang w:eastAsia="ru-RU"/>
                    </w:rPr>
                    <w:t xml:space="preserve">1. </w:t>
                  </w:r>
                  <w:r w:rsidR="00902C3C">
                    <w:rPr>
                      <w:b w:val="0"/>
                      <w:bCs w:val="0"/>
                      <w:sz w:val="22"/>
                      <w:szCs w:val="22"/>
                      <w:lang w:eastAsia="ru-RU"/>
                    </w:rPr>
                    <w:t xml:space="preserve">  </w:t>
                  </w:r>
                  <w:proofErr w:type="spellStart"/>
                  <w:r w:rsidRPr="00275C6D">
                    <w:rPr>
                      <w:b w:val="0"/>
                      <w:bCs w:val="0"/>
                      <w:sz w:val="22"/>
                      <w:szCs w:val="22"/>
                      <w:lang w:eastAsia="ru-RU"/>
                    </w:rPr>
                    <w:t>Транскодування</w:t>
                  </w:r>
                  <w:proofErr w:type="spellEnd"/>
                </w:p>
              </w:tc>
            </w:tr>
            <w:tr w:rsidR="00275C6D" w:rsidRPr="00B30659" w:rsidTr="00902C3C">
              <w:tc>
                <w:tcPr>
                  <w:tcW w:w="5386" w:type="dxa"/>
                </w:tcPr>
                <w:p w:rsidR="00275C6D" w:rsidRDefault="00275C6D" w:rsidP="00094E40">
                  <w:pPr>
                    <w:pStyle w:val="a9"/>
                    <w:spacing w:line="276" w:lineRule="auto"/>
                    <w:jc w:val="both"/>
                    <w:rPr>
                      <w:b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b w:val="0"/>
                      <w:sz w:val="22"/>
                      <w:szCs w:val="22"/>
                      <w:lang w:eastAsia="ru-RU"/>
                    </w:rPr>
                    <w:t xml:space="preserve">2. </w:t>
                  </w:r>
                  <w:r w:rsidR="00902C3C">
                    <w:rPr>
                      <w:b w:val="0"/>
                      <w:sz w:val="22"/>
                      <w:szCs w:val="22"/>
                      <w:lang w:eastAsia="ru-RU"/>
                    </w:rPr>
                    <w:t xml:space="preserve">   </w:t>
                  </w:r>
                  <w:r w:rsidRPr="00275C6D">
                    <w:rPr>
                      <w:b w:val="0"/>
                      <w:sz w:val="22"/>
                      <w:szCs w:val="22"/>
                      <w:lang w:eastAsia="ru-RU"/>
                    </w:rPr>
                    <w:t xml:space="preserve">Антонімічний переклад (формальна </w:t>
                  </w:r>
                  <w:proofErr w:type="spellStart"/>
                  <w:r w:rsidRPr="00275C6D">
                    <w:rPr>
                      <w:b w:val="0"/>
                      <w:sz w:val="22"/>
                      <w:szCs w:val="22"/>
                      <w:lang w:eastAsia="ru-RU"/>
                    </w:rPr>
                    <w:t>негативація</w:t>
                  </w:r>
                  <w:proofErr w:type="spellEnd"/>
                  <w:r w:rsidRPr="00275C6D">
                    <w:rPr>
                      <w:b w:val="0"/>
                      <w:sz w:val="22"/>
                      <w:szCs w:val="22"/>
                      <w:lang w:eastAsia="ru-RU"/>
                    </w:rPr>
                    <w:t xml:space="preserve">) </w:t>
                  </w:r>
                </w:p>
                <w:p w:rsidR="00275C6D" w:rsidRPr="00275C6D" w:rsidRDefault="00275C6D" w:rsidP="00094E40">
                  <w:pPr>
                    <w:pStyle w:val="a9"/>
                    <w:spacing w:line="276" w:lineRule="auto"/>
                    <w:jc w:val="both"/>
                    <w:rPr>
                      <w:b w:val="0"/>
                      <w:bCs w:val="0"/>
                      <w:caps/>
                      <w:sz w:val="22"/>
                      <w:szCs w:val="22"/>
                      <w:lang w:eastAsia="ru-RU"/>
                    </w:rPr>
                  </w:pPr>
                  <w:r>
                    <w:rPr>
                      <w:b w:val="0"/>
                      <w:sz w:val="22"/>
                      <w:szCs w:val="22"/>
                      <w:lang w:eastAsia="ru-RU"/>
                    </w:rPr>
                    <w:t xml:space="preserve">3. </w:t>
                  </w:r>
                  <w:r w:rsidR="00902C3C">
                    <w:rPr>
                      <w:b w:val="0"/>
                      <w:sz w:val="22"/>
                      <w:szCs w:val="22"/>
                      <w:lang w:eastAsia="ru-RU"/>
                    </w:rPr>
                    <w:t xml:space="preserve">   </w:t>
                  </w:r>
                  <w:r w:rsidRPr="00275C6D">
                    <w:rPr>
                      <w:b w:val="0"/>
                      <w:sz w:val="22"/>
                      <w:szCs w:val="22"/>
                      <w:lang w:eastAsia="ru-RU"/>
                    </w:rPr>
                    <w:t>Редагування тексту</w:t>
                  </w:r>
                </w:p>
              </w:tc>
            </w:tr>
            <w:tr w:rsidR="00275C6D" w:rsidRPr="004346D8" w:rsidTr="00902C3C">
              <w:tc>
                <w:tcPr>
                  <w:tcW w:w="5386" w:type="dxa"/>
                </w:tcPr>
                <w:p w:rsidR="00275C6D" w:rsidRPr="00275C6D" w:rsidRDefault="00275C6D" w:rsidP="00094E40">
                  <w:pPr>
                    <w:pStyle w:val="a9"/>
                    <w:spacing w:line="276" w:lineRule="auto"/>
                    <w:jc w:val="both"/>
                    <w:rPr>
                      <w:b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b w:val="0"/>
                      <w:sz w:val="22"/>
                      <w:szCs w:val="22"/>
                      <w:lang w:eastAsia="ru-RU"/>
                    </w:rPr>
                    <w:t xml:space="preserve">4. </w:t>
                  </w:r>
                  <w:r w:rsidR="00902C3C">
                    <w:rPr>
                      <w:b w:val="0"/>
                      <w:sz w:val="22"/>
                      <w:szCs w:val="22"/>
                      <w:lang w:eastAsia="ru-RU"/>
                    </w:rPr>
                    <w:t xml:space="preserve">   </w:t>
                  </w:r>
                  <w:r w:rsidRPr="00275C6D">
                    <w:rPr>
                      <w:b w:val="0"/>
                      <w:sz w:val="22"/>
                      <w:szCs w:val="22"/>
                      <w:lang w:eastAsia="ru-RU"/>
                    </w:rPr>
                    <w:t>Описовий переклад</w:t>
                  </w:r>
                  <w:r w:rsidRPr="00275C6D">
                    <w:rPr>
                      <w:b w:val="0"/>
                      <w:sz w:val="22"/>
                      <w:szCs w:val="22"/>
                      <w:lang w:val="ru-RU" w:eastAsia="ru-RU"/>
                    </w:rPr>
                    <w:t xml:space="preserve">. </w:t>
                  </w:r>
                  <w:r w:rsidRPr="00275C6D">
                    <w:rPr>
                      <w:b w:val="0"/>
                      <w:sz w:val="22"/>
                      <w:szCs w:val="22"/>
                      <w:lang w:eastAsia="ru-RU"/>
                    </w:rPr>
                    <w:t>Переклад тексту</w:t>
                  </w:r>
                </w:p>
              </w:tc>
            </w:tr>
            <w:tr w:rsidR="00275C6D" w:rsidRPr="004346D8" w:rsidTr="00902C3C">
              <w:tc>
                <w:tcPr>
                  <w:tcW w:w="5386" w:type="dxa"/>
                </w:tcPr>
                <w:p w:rsidR="00275C6D" w:rsidRPr="00275C6D" w:rsidRDefault="00902C3C" w:rsidP="00094E40">
                  <w:pPr>
                    <w:pStyle w:val="a9"/>
                    <w:spacing w:line="276" w:lineRule="auto"/>
                    <w:jc w:val="both"/>
                    <w:rPr>
                      <w:b w:val="0"/>
                      <w:bCs w:val="0"/>
                      <w:caps/>
                      <w:sz w:val="22"/>
                      <w:szCs w:val="22"/>
                      <w:lang w:eastAsia="ru-RU"/>
                    </w:rPr>
                  </w:pPr>
                  <w:r>
                    <w:rPr>
                      <w:b w:val="0"/>
                      <w:sz w:val="22"/>
                      <w:szCs w:val="22"/>
                      <w:lang w:eastAsia="ru-RU"/>
                    </w:rPr>
                    <w:t xml:space="preserve">5. </w:t>
                  </w:r>
                  <w:r w:rsidR="00275C6D" w:rsidRPr="00275C6D">
                    <w:rPr>
                      <w:b w:val="0"/>
                      <w:sz w:val="22"/>
                      <w:szCs w:val="22"/>
                      <w:lang w:eastAsia="ru-RU"/>
                    </w:rPr>
                    <w:t>Конкретизація значення слова. Переклад наукового тексту</w:t>
                  </w:r>
                  <w:r w:rsidR="00275C6D" w:rsidRPr="00275C6D">
                    <w:rPr>
                      <w:b w:val="0"/>
                      <w:sz w:val="22"/>
                      <w:szCs w:val="22"/>
                      <w:lang w:val="ru-RU" w:eastAsia="ru-RU"/>
                    </w:rPr>
                    <w:t xml:space="preserve"> </w:t>
                  </w:r>
                </w:p>
              </w:tc>
            </w:tr>
            <w:tr w:rsidR="00275C6D" w:rsidRPr="004346D8" w:rsidTr="00902C3C">
              <w:tc>
                <w:tcPr>
                  <w:tcW w:w="5386" w:type="dxa"/>
                </w:tcPr>
                <w:p w:rsidR="00275C6D" w:rsidRPr="00275C6D" w:rsidRDefault="00275C6D" w:rsidP="00094E40">
                  <w:pPr>
                    <w:pStyle w:val="a9"/>
                    <w:spacing w:line="276" w:lineRule="auto"/>
                    <w:jc w:val="both"/>
                    <w:rPr>
                      <w:b w:val="0"/>
                      <w:bCs w:val="0"/>
                      <w:caps/>
                      <w:sz w:val="22"/>
                      <w:szCs w:val="22"/>
                      <w:lang w:eastAsia="ru-RU"/>
                    </w:rPr>
                  </w:pPr>
                  <w:r>
                    <w:rPr>
                      <w:b w:val="0"/>
                      <w:sz w:val="22"/>
                      <w:szCs w:val="22"/>
                      <w:lang w:eastAsia="ru-RU"/>
                    </w:rPr>
                    <w:t xml:space="preserve">6. </w:t>
                  </w:r>
                  <w:r w:rsidRPr="00275C6D">
                    <w:rPr>
                      <w:b w:val="0"/>
                      <w:sz w:val="22"/>
                      <w:szCs w:val="22"/>
                      <w:lang w:eastAsia="ru-RU"/>
                    </w:rPr>
                    <w:t xml:space="preserve">Генералізація значення слова. Переклад </w:t>
                  </w:r>
                  <w:r w:rsidRPr="00275C6D">
                    <w:rPr>
                      <w:b w:val="0"/>
                      <w:sz w:val="22"/>
                      <w:szCs w:val="22"/>
                      <w:lang w:eastAsia="ru-RU"/>
                    </w:rPr>
                    <w:lastRenderedPageBreak/>
                    <w:t>юридичного тексту</w:t>
                  </w:r>
                </w:p>
              </w:tc>
            </w:tr>
            <w:tr w:rsidR="00275C6D" w:rsidRPr="004346D8" w:rsidTr="00902C3C">
              <w:tc>
                <w:tcPr>
                  <w:tcW w:w="5386" w:type="dxa"/>
                </w:tcPr>
                <w:p w:rsidR="00275C6D" w:rsidRPr="00275C6D" w:rsidRDefault="00275C6D" w:rsidP="00094E40">
                  <w:pPr>
                    <w:pStyle w:val="a9"/>
                    <w:spacing w:line="276" w:lineRule="auto"/>
                    <w:jc w:val="both"/>
                    <w:rPr>
                      <w:b w:val="0"/>
                      <w:bCs w:val="0"/>
                      <w:caps/>
                      <w:sz w:val="22"/>
                      <w:szCs w:val="22"/>
                      <w:lang w:eastAsia="ru-RU"/>
                    </w:rPr>
                  </w:pPr>
                  <w:r>
                    <w:rPr>
                      <w:b w:val="0"/>
                      <w:sz w:val="22"/>
                      <w:szCs w:val="22"/>
                      <w:lang w:eastAsia="ru-RU"/>
                    </w:rPr>
                    <w:lastRenderedPageBreak/>
                    <w:t xml:space="preserve">7. </w:t>
                  </w:r>
                  <w:r w:rsidR="00902C3C">
                    <w:rPr>
                      <w:b w:val="0"/>
                      <w:sz w:val="22"/>
                      <w:szCs w:val="22"/>
                      <w:lang w:eastAsia="ru-RU"/>
                    </w:rPr>
                    <w:t xml:space="preserve">  </w:t>
                  </w:r>
                  <w:r w:rsidRPr="00275C6D">
                    <w:rPr>
                      <w:b w:val="0"/>
                      <w:sz w:val="22"/>
                      <w:szCs w:val="22"/>
                      <w:lang w:eastAsia="ru-RU"/>
                    </w:rPr>
                    <w:t>Додавання та вилучення слова.</w:t>
                  </w:r>
                </w:p>
              </w:tc>
            </w:tr>
            <w:tr w:rsidR="00275C6D" w:rsidRPr="004346D8" w:rsidTr="00902C3C">
              <w:tc>
                <w:tcPr>
                  <w:tcW w:w="5386" w:type="dxa"/>
                </w:tcPr>
                <w:p w:rsidR="00275C6D" w:rsidRDefault="00275C6D" w:rsidP="00094E40">
                  <w:pPr>
                    <w:pStyle w:val="a9"/>
                    <w:spacing w:line="276" w:lineRule="auto"/>
                    <w:jc w:val="both"/>
                    <w:rPr>
                      <w:b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b w:val="0"/>
                      <w:sz w:val="22"/>
                      <w:szCs w:val="22"/>
                      <w:lang w:eastAsia="ru-RU"/>
                    </w:rPr>
                    <w:t xml:space="preserve">8. </w:t>
                  </w:r>
                  <w:r w:rsidRPr="00275C6D">
                    <w:rPr>
                      <w:b w:val="0"/>
                      <w:sz w:val="22"/>
                      <w:szCs w:val="22"/>
                      <w:lang w:eastAsia="ru-RU"/>
                    </w:rPr>
                    <w:t>Перестановка слова. Переклад публіцистичної статті</w:t>
                  </w:r>
                </w:p>
              </w:tc>
            </w:tr>
          </w:tbl>
          <w:p w:rsidR="00380969" w:rsidRPr="00380969" w:rsidRDefault="0038096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80969" w:rsidRDefault="00275C6D" w:rsidP="00275C6D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Змістовий модуль 2. «Фальшиві друзі» </w:t>
            </w:r>
            <w:r w:rsidRPr="00275C6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перекладача.</w:t>
            </w:r>
          </w:p>
          <w:tbl>
            <w:tblPr>
              <w:tblW w:w="0" w:type="auto"/>
              <w:tblLook w:val="04A0"/>
            </w:tblPr>
            <w:tblGrid>
              <w:gridCol w:w="5278"/>
            </w:tblGrid>
            <w:tr w:rsidR="00275C6D" w:rsidRPr="00B30659" w:rsidTr="00902C3C">
              <w:tc>
                <w:tcPr>
                  <w:tcW w:w="5386" w:type="dxa"/>
                </w:tcPr>
                <w:p w:rsidR="00275C6D" w:rsidRPr="00275C6D" w:rsidRDefault="00821BCE" w:rsidP="00902C3C">
                  <w:pPr>
                    <w:pStyle w:val="a9"/>
                    <w:spacing w:line="276" w:lineRule="auto"/>
                    <w:jc w:val="both"/>
                    <w:rPr>
                      <w:b w:val="0"/>
                      <w:bCs w:val="0"/>
                      <w:caps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b w:val="0"/>
                      <w:sz w:val="22"/>
                      <w:szCs w:val="22"/>
                      <w:lang w:eastAsia="ru-RU"/>
                    </w:rPr>
                    <w:t>1.</w:t>
                  </w:r>
                  <w:r w:rsidR="00902C3C">
                    <w:rPr>
                      <w:b w:val="0"/>
                      <w:sz w:val="22"/>
                      <w:szCs w:val="22"/>
                      <w:lang w:eastAsia="ru-RU"/>
                    </w:rPr>
                    <w:t xml:space="preserve">    </w:t>
                  </w:r>
                  <w:proofErr w:type="spellStart"/>
                  <w:r w:rsidR="00275C6D" w:rsidRPr="00275C6D">
                    <w:rPr>
                      <w:b w:val="0"/>
                      <w:sz w:val="22"/>
                      <w:szCs w:val="22"/>
                      <w:lang w:eastAsia="ru-RU"/>
                    </w:rPr>
                    <w:t>Інтернаціоналізми</w:t>
                  </w:r>
                  <w:proofErr w:type="spellEnd"/>
                  <w:r w:rsidR="00275C6D" w:rsidRPr="00275C6D">
                    <w:rPr>
                      <w:b w:val="0"/>
                      <w:sz w:val="22"/>
                      <w:szCs w:val="22"/>
                      <w:lang w:eastAsia="ru-RU"/>
                    </w:rPr>
                    <w:t xml:space="preserve"> та </w:t>
                  </w:r>
                  <w:proofErr w:type="spellStart"/>
                  <w:r w:rsidR="00275C6D" w:rsidRPr="00275C6D">
                    <w:rPr>
                      <w:b w:val="0"/>
                      <w:sz w:val="22"/>
                      <w:szCs w:val="22"/>
                      <w:lang w:eastAsia="ru-RU"/>
                    </w:rPr>
                    <w:t>псевдоінтернаціоналізми</w:t>
                  </w:r>
                  <w:proofErr w:type="spellEnd"/>
                  <w:r w:rsidR="00275C6D" w:rsidRPr="00275C6D">
                    <w:rPr>
                      <w:b w:val="0"/>
                      <w:sz w:val="22"/>
                      <w:szCs w:val="22"/>
                      <w:lang w:eastAsia="ru-RU"/>
                    </w:rPr>
                    <w:t>.</w:t>
                  </w:r>
                </w:p>
              </w:tc>
            </w:tr>
            <w:tr w:rsidR="00275C6D" w:rsidRPr="00821BCE" w:rsidTr="00902C3C">
              <w:tc>
                <w:tcPr>
                  <w:tcW w:w="5386" w:type="dxa"/>
                </w:tcPr>
                <w:p w:rsidR="00275C6D" w:rsidRPr="00821BCE" w:rsidRDefault="00821BCE" w:rsidP="00902C3C">
                  <w:pPr>
                    <w:pStyle w:val="a9"/>
                    <w:spacing w:line="276" w:lineRule="auto"/>
                    <w:jc w:val="both"/>
                    <w:rPr>
                      <w:b w:val="0"/>
                      <w:bCs w:val="0"/>
                      <w:caps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b w:val="0"/>
                      <w:sz w:val="22"/>
                      <w:szCs w:val="22"/>
                      <w:lang w:eastAsia="ru-RU"/>
                    </w:rPr>
                    <w:t xml:space="preserve">2. </w:t>
                  </w:r>
                  <w:r w:rsidR="00902C3C">
                    <w:rPr>
                      <w:b w:val="0"/>
                      <w:sz w:val="22"/>
                      <w:szCs w:val="22"/>
                      <w:lang w:eastAsia="ru-RU"/>
                    </w:rPr>
                    <w:t xml:space="preserve">   </w:t>
                  </w:r>
                  <w:r w:rsidR="00275C6D" w:rsidRPr="00275C6D">
                    <w:rPr>
                      <w:b w:val="0"/>
                      <w:sz w:val="22"/>
                      <w:szCs w:val="22"/>
                      <w:lang w:eastAsia="ru-RU"/>
                    </w:rPr>
                    <w:t>Лексикалізовані форми множини.</w:t>
                  </w:r>
                  <w:r w:rsidR="00275C6D" w:rsidRPr="00821BCE">
                    <w:rPr>
                      <w:b w:val="0"/>
                      <w:sz w:val="22"/>
                      <w:szCs w:val="22"/>
                      <w:lang w:val="ru-RU" w:eastAsia="ru-RU"/>
                    </w:rPr>
                    <w:t xml:space="preserve"> </w:t>
                  </w:r>
                </w:p>
              </w:tc>
            </w:tr>
            <w:tr w:rsidR="00275C6D" w:rsidRPr="00B30659" w:rsidTr="00902C3C">
              <w:tc>
                <w:tcPr>
                  <w:tcW w:w="5386" w:type="dxa"/>
                </w:tcPr>
                <w:p w:rsidR="00275C6D" w:rsidRPr="00275C6D" w:rsidRDefault="00902C3C" w:rsidP="00902C3C">
                  <w:pPr>
                    <w:pStyle w:val="a9"/>
                    <w:spacing w:line="276" w:lineRule="auto"/>
                    <w:jc w:val="both"/>
                    <w:rPr>
                      <w:b w:val="0"/>
                      <w:bCs w:val="0"/>
                      <w:caps/>
                      <w:sz w:val="22"/>
                      <w:szCs w:val="22"/>
                      <w:lang w:eastAsia="ru-RU"/>
                    </w:rPr>
                  </w:pPr>
                  <w:r>
                    <w:rPr>
                      <w:b w:val="0"/>
                      <w:sz w:val="22"/>
                      <w:szCs w:val="22"/>
                      <w:lang w:eastAsia="ru-RU"/>
                    </w:rPr>
                    <w:t xml:space="preserve">3. </w:t>
                  </w:r>
                  <w:r w:rsidR="00275C6D" w:rsidRPr="00275C6D">
                    <w:rPr>
                      <w:b w:val="0"/>
                      <w:sz w:val="22"/>
                      <w:szCs w:val="22"/>
                      <w:lang w:eastAsia="ru-RU"/>
                    </w:rPr>
                    <w:t>Пароніми і переклад. Переклад та аналіз економічного тексту.  Акроніми.</w:t>
                  </w:r>
                </w:p>
              </w:tc>
            </w:tr>
            <w:tr w:rsidR="00275C6D" w:rsidRPr="00B97AB0" w:rsidTr="00902C3C">
              <w:tc>
                <w:tcPr>
                  <w:tcW w:w="5386" w:type="dxa"/>
                </w:tcPr>
                <w:p w:rsidR="00275C6D" w:rsidRPr="00275C6D" w:rsidRDefault="00821BCE" w:rsidP="00902C3C">
                  <w:pPr>
                    <w:pStyle w:val="a9"/>
                    <w:spacing w:line="276" w:lineRule="auto"/>
                    <w:jc w:val="both"/>
                    <w:rPr>
                      <w:b w:val="0"/>
                      <w:bCs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b w:val="0"/>
                      <w:bCs w:val="0"/>
                      <w:sz w:val="22"/>
                      <w:szCs w:val="22"/>
                      <w:lang w:eastAsia="ru-RU"/>
                    </w:rPr>
                    <w:t xml:space="preserve">4. </w:t>
                  </w:r>
                  <w:r w:rsidR="00902C3C">
                    <w:rPr>
                      <w:b w:val="0"/>
                      <w:bCs w:val="0"/>
                      <w:sz w:val="22"/>
                      <w:szCs w:val="22"/>
                      <w:lang w:eastAsia="ru-RU"/>
                    </w:rPr>
                    <w:t xml:space="preserve">   </w:t>
                  </w:r>
                  <w:r w:rsidR="00275C6D" w:rsidRPr="00275C6D">
                    <w:rPr>
                      <w:b w:val="0"/>
                      <w:bCs w:val="0"/>
                      <w:sz w:val="22"/>
                      <w:szCs w:val="22"/>
                      <w:lang w:eastAsia="ru-RU"/>
                    </w:rPr>
                    <w:t>Стилі перекладу.</w:t>
                  </w:r>
                </w:p>
              </w:tc>
            </w:tr>
            <w:tr w:rsidR="00275C6D" w:rsidRPr="004346D8" w:rsidTr="00902C3C">
              <w:tc>
                <w:tcPr>
                  <w:tcW w:w="5386" w:type="dxa"/>
                </w:tcPr>
                <w:p w:rsidR="00275C6D" w:rsidRPr="00275C6D" w:rsidRDefault="00821BCE" w:rsidP="00902C3C">
                  <w:pPr>
                    <w:pStyle w:val="a9"/>
                    <w:spacing w:line="276" w:lineRule="auto"/>
                    <w:jc w:val="both"/>
                    <w:rPr>
                      <w:b w:val="0"/>
                      <w:bCs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b w:val="0"/>
                      <w:bCs w:val="0"/>
                      <w:sz w:val="22"/>
                      <w:szCs w:val="22"/>
                      <w:lang w:eastAsia="ru-RU"/>
                    </w:rPr>
                    <w:t xml:space="preserve">5. </w:t>
                  </w:r>
                  <w:r w:rsidR="00902C3C">
                    <w:rPr>
                      <w:b w:val="0"/>
                      <w:bCs w:val="0"/>
                      <w:sz w:val="22"/>
                      <w:szCs w:val="22"/>
                      <w:lang w:eastAsia="ru-RU"/>
                    </w:rPr>
                    <w:t xml:space="preserve">   </w:t>
                  </w:r>
                  <w:r w:rsidR="00275C6D" w:rsidRPr="00275C6D">
                    <w:rPr>
                      <w:b w:val="0"/>
                      <w:bCs w:val="0"/>
                      <w:sz w:val="22"/>
                      <w:szCs w:val="22"/>
                      <w:lang w:eastAsia="ru-RU"/>
                    </w:rPr>
                    <w:t>Стилістичні особливості перекладу.</w:t>
                  </w:r>
                </w:p>
              </w:tc>
            </w:tr>
            <w:tr w:rsidR="00821BCE" w:rsidRPr="004346D8" w:rsidTr="00902C3C">
              <w:tc>
                <w:tcPr>
                  <w:tcW w:w="5386" w:type="dxa"/>
                </w:tcPr>
                <w:p w:rsidR="00821BCE" w:rsidRPr="00821BCE" w:rsidRDefault="00821BCE" w:rsidP="00902C3C">
                  <w:pPr>
                    <w:pStyle w:val="a9"/>
                    <w:spacing w:line="276" w:lineRule="auto"/>
                    <w:jc w:val="both"/>
                    <w:rPr>
                      <w:b w:val="0"/>
                      <w:bCs w:val="0"/>
                      <w:caps/>
                      <w:sz w:val="22"/>
                      <w:szCs w:val="22"/>
                      <w:lang w:eastAsia="ru-RU"/>
                    </w:rPr>
                  </w:pPr>
                  <w:r>
                    <w:rPr>
                      <w:b w:val="0"/>
                      <w:sz w:val="22"/>
                      <w:szCs w:val="22"/>
                      <w:lang w:eastAsia="ru-RU"/>
                    </w:rPr>
                    <w:t xml:space="preserve">6. </w:t>
                  </w:r>
                  <w:r w:rsidR="00902C3C">
                    <w:rPr>
                      <w:b w:val="0"/>
                      <w:sz w:val="22"/>
                      <w:szCs w:val="22"/>
                      <w:lang w:eastAsia="ru-RU"/>
                    </w:rPr>
                    <w:t xml:space="preserve">   </w:t>
                  </w:r>
                  <w:r w:rsidRPr="00821BCE">
                    <w:rPr>
                      <w:b w:val="0"/>
                      <w:sz w:val="22"/>
                      <w:szCs w:val="22"/>
                      <w:lang w:eastAsia="ru-RU"/>
                    </w:rPr>
                    <w:t>Переклад слів-реалій.</w:t>
                  </w:r>
                  <w:r w:rsidRPr="00821BCE">
                    <w:rPr>
                      <w:b w:val="0"/>
                      <w:sz w:val="22"/>
                      <w:szCs w:val="22"/>
                      <w:lang w:val="ru-RU" w:eastAsia="ru-RU"/>
                    </w:rPr>
                    <w:t xml:space="preserve"> </w:t>
                  </w:r>
                </w:p>
              </w:tc>
            </w:tr>
            <w:tr w:rsidR="00821BCE" w:rsidRPr="004346D8" w:rsidTr="00902C3C">
              <w:tc>
                <w:tcPr>
                  <w:tcW w:w="5386" w:type="dxa"/>
                </w:tcPr>
                <w:p w:rsidR="00821BCE" w:rsidRPr="00821BCE" w:rsidRDefault="00821BCE" w:rsidP="00902C3C">
                  <w:pPr>
                    <w:pStyle w:val="a9"/>
                    <w:spacing w:line="276" w:lineRule="auto"/>
                    <w:jc w:val="both"/>
                    <w:rPr>
                      <w:b w:val="0"/>
                      <w:bCs w:val="0"/>
                      <w:caps/>
                      <w:sz w:val="22"/>
                      <w:szCs w:val="22"/>
                      <w:lang w:eastAsia="ru-RU"/>
                    </w:rPr>
                  </w:pPr>
                  <w:r>
                    <w:rPr>
                      <w:b w:val="0"/>
                      <w:sz w:val="22"/>
                      <w:szCs w:val="22"/>
                      <w:lang w:eastAsia="ru-RU"/>
                    </w:rPr>
                    <w:t xml:space="preserve">7. </w:t>
                  </w:r>
                  <w:r w:rsidR="00902C3C">
                    <w:rPr>
                      <w:b w:val="0"/>
                      <w:sz w:val="22"/>
                      <w:szCs w:val="22"/>
                      <w:lang w:eastAsia="ru-RU"/>
                    </w:rPr>
                    <w:t xml:space="preserve">   </w:t>
                  </w:r>
                  <w:r w:rsidRPr="00821BCE">
                    <w:rPr>
                      <w:b w:val="0"/>
                      <w:sz w:val="22"/>
                      <w:szCs w:val="22"/>
                      <w:lang w:eastAsia="ru-RU"/>
                    </w:rPr>
                    <w:t>Особливості перекладу назв навчальних закладів, факультетів, кафедр.</w:t>
                  </w:r>
                </w:p>
              </w:tc>
            </w:tr>
            <w:tr w:rsidR="00821BCE" w:rsidRPr="004346D8" w:rsidTr="00902C3C">
              <w:tc>
                <w:tcPr>
                  <w:tcW w:w="5386" w:type="dxa"/>
                </w:tcPr>
                <w:p w:rsidR="00821BCE" w:rsidRPr="00821BCE" w:rsidRDefault="00821BCE" w:rsidP="00902C3C">
                  <w:pPr>
                    <w:pStyle w:val="a9"/>
                    <w:spacing w:line="276" w:lineRule="auto"/>
                    <w:jc w:val="both"/>
                    <w:rPr>
                      <w:b w:val="0"/>
                      <w:bCs w:val="0"/>
                      <w:caps/>
                      <w:sz w:val="22"/>
                      <w:szCs w:val="22"/>
                      <w:lang w:eastAsia="ru-RU"/>
                    </w:rPr>
                  </w:pPr>
                  <w:r>
                    <w:rPr>
                      <w:b w:val="0"/>
                      <w:sz w:val="22"/>
                      <w:szCs w:val="22"/>
                      <w:lang w:eastAsia="ru-RU"/>
                    </w:rPr>
                    <w:t xml:space="preserve">8. </w:t>
                  </w:r>
                  <w:r w:rsidR="00902C3C">
                    <w:rPr>
                      <w:b w:val="0"/>
                      <w:sz w:val="22"/>
                      <w:szCs w:val="22"/>
                      <w:lang w:eastAsia="ru-RU"/>
                    </w:rPr>
                    <w:t xml:space="preserve">  </w:t>
                  </w:r>
                  <w:r w:rsidRPr="00821BCE">
                    <w:rPr>
                      <w:b w:val="0"/>
                      <w:sz w:val="22"/>
                      <w:szCs w:val="22"/>
                      <w:lang w:eastAsia="ru-RU"/>
                    </w:rPr>
                    <w:t>Переклад назв підприємств.</w:t>
                  </w:r>
                  <w:r w:rsidRPr="00821BCE">
                    <w:rPr>
                      <w:b w:val="0"/>
                      <w:sz w:val="22"/>
                      <w:szCs w:val="22"/>
                      <w:lang w:val="ru-RU" w:eastAsia="ru-RU"/>
                    </w:rPr>
                    <w:t xml:space="preserve"> </w:t>
                  </w:r>
                </w:p>
              </w:tc>
            </w:tr>
            <w:tr w:rsidR="00821BCE" w:rsidRPr="004346D8" w:rsidTr="00902C3C">
              <w:tc>
                <w:tcPr>
                  <w:tcW w:w="5386" w:type="dxa"/>
                </w:tcPr>
                <w:p w:rsidR="00821BCE" w:rsidRDefault="00821BCE" w:rsidP="00902C3C">
                  <w:pPr>
                    <w:pStyle w:val="a9"/>
                    <w:spacing w:line="276" w:lineRule="auto"/>
                    <w:jc w:val="both"/>
                    <w:rPr>
                      <w:b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b w:val="0"/>
                      <w:sz w:val="22"/>
                      <w:szCs w:val="22"/>
                      <w:lang w:eastAsia="ru-RU"/>
                    </w:rPr>
                    <w:t xml:space="preserve">9. </w:t>
                  </w:r>
                  <w:r w:rsidR="00902C3C">
                    <w:rPr>
                      <w:b w:val="0"/>
                      <w:sz w:val="22"/>
                      <w:szCs w:val="22"/>
                      <w:lang w:eastAsia="ru-RU"/>
                    </w:rPr>
                    <w:t xml:space="preserve">   </w:t>
                  </w:r>
                  <w:r w:rsidRPr="00821BCE">
                    <w:rPr>
                      <w:b w:val="0"/>
                      <w:sz w:val="22"/>
                      <w:szCs w:val="22"/>
                      <w:lang w:eastAsia="ru-RU"/>
                    </w:rPr>
                    <w:t>Переклад</w:t>
                  </w:r>
                  <w:r>
                    <w:rPr>
                      <w:b w:val="0"/>
                      <w:sz w:val="22"/>
                      <w:szCs w:val="22"/>
                      <w:lang w:eastAsia="ru-RU"/>
                    </w:rPr>
                    <w:t xml:space="preserve"> фільмів</w:t>
                  </w:r>
                </w:p>
              </w:tc>
            </w:tr>
            <w:tr w:rsidR="00821BCE" w:rsidRPr="004346D8" w:rsidTr="00902C3C">
              <w:tc>
                <w:tcPr>
                  <w:tcW w:w="5386" w:type="dxa"/>
                </w:tcPr>
                <w:p w:rsidR="00821BCE" w:rsidRPr="00821BCE" w:rsidRDefault="00821BCE" w:rsidP="00902C3C">
                  <w:pPr>
                    <w:pStyle w:val="a9"/>
                    <w:spacing w:line="276" w:lineRule="auto"/>
                    <w:jc w:val="both"/>
                    <w:rPr>
                      <w:b w:val="0"/>
                      <w:bCs w:val="0"/>
                      <w:caps/>
                      <w:sz w:val="22"/>
                      <w:szCs w:val="22"/>
                      <w:lang w:eastAsia="ru-RU"/>
                    </w:rPr>
                  </w:pPr>
                  <w:r>
                    <w:rPr>
                      <w:b w:val="0"/>
                      <w:sz w:val="22"/>
                      <w:szCs w:val="22"/>
                      <w:lang w:eastAsia="ru-RU"/>
                    </w:rPr>
                    <w:t xml:space="preserve">10. </w:t>
                  </w:r>
                  <w:r w:rsidR="00902C3C">
                    <w:rPr>
                      <w:b w:val="0"/>
                      <w:sz w:val="22"/>
                      <w:szCs w:val="22"/>
                      <w:lang w:eastAsia="ru-RU"/>
                    </w:rPr>
                    <w:t xml:space="preserve">  </w:t>
                  </w:r>
                  <w:r w:rsidRPr="00821BCE">
                    <w:rPr>
                      <w:b w:val="0"/>
                      <w:sz w:val="22"/>
                      <w:szCs w:val="22"/>
                      <w:lang w:eastAsia="ru-RU"/>
                    </w:rPr>
                    <w:t xml:space="preserve">Назви книг і заголовки статей. </w:t>
                  </w:r>
                </w:p>
              </w:tc>
            </w:tr>
            <w:tr w:rsidR="00821BCE" w:rsidRPr="004346D8" w:rsidTr="00902C3C">
              <w:tc>
                <w:tcPr>
                  <w:tcW w:w="5386" w:type="dxa"/>
                </w:tcPr>
                <w:p w:rsidR="00821BCE" w:rsidRPr="00821BCE" w:rsidRDefault="00821BCE" w:rsidP="00902C3C">
                  <w:pPr>
                    <w:pStyle w:val="a9"/>
                    <w:spacing w:line="276" w:lineRule="auto"/>
                    <w:jc w:val="both"/>
                    <w:rPr>
                      <w:b w:val="0"/>
                      <w:sz w:val="22"/>
                      <w:szCs w:val="22"/>
                      <w:lang w:eastAsia="ru-RU"/>
                    </w:rPr>
                  </w:pPr>
                  <w:r>
                    <w:rPr>
                      <w:b w:val="0"/>
                      <w:sz w:val="22"/>
                      <w:szCs w:val="22"/>
                      <w:lang w:eastAsia="ru-RU"/>
                    </w:rPr>
                    <w:t xml:space="preserve">11. </w:t>
                  </w:r>
                  <w:r w:rsidR="00902C3C">
                    <w:rPr>
                      <w:b w:val="0"/>
                      <w:sz w:val="22"/>
                      <w:szCs w:val="22"/>
                      <w:lang w:eastAsia="ru-RU"/>
                    </w:rPr>
                    <w:t xml:space="preserve">  </w:t>
                  </w:r>
                  <w:r w:rsidRPr="00821BCE">
                    <w:rPr>
                      <w:b w:val="0"/>
                      <w:sz w:val="22"/>
                      <w:szCs w:val="22"/>
                      <w:lang w:eastAsia="ru-RU"/>
                    </w:rPr>
                    <w:t>Переклад громадських організацій.</w:t>
                  </w:r>
                </w:p>
              </w:tc>
            </w:tr>
          </w:tbl>
          <w:p w:rsidR="00380969" w:rsidRDefault="00380969" w:rsidP="00380969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969" w:rsidRPr="0048608D" w:rsidRDefault="00275C6D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Види занять: </w:t>
            </w:r>
            <w:r w:rsidR="00380969" w:rsidRPr="0048608D">
              <w:rPr>
                <w:rFonts w:ascii="Times New Roman" w:hAnsi="Times New Roman" w:cs="Times New Roman"/>
                <w:lang w:val="uk-UA"/>
              </w:rPr>
              <w:t xml:space="preserve"> практичні.</w:t>
            </w:r>
          </w:p>
          <w:p w:rsidR="00380969" w:rsidRPr="0048608D" w:rsidRDefault="00380969" w:rsidP="00AA6AD9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8608D">
              <w:rPr>
                <w:rFonts w:ascii="Times New Roman" w:hAnsi="Times New Roman" w:cs="Times New Roman"/>
                <w:lang w:val="uk-UA"/>
              </w:rPr>
              <w:t xml:space="preserve">Методи навчання: навчальна дискусія,  </w:t>
            </w: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з</w:t>
            </w:r>
            <w:r w:rsidRPr="0048608D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астосування диференційованого підходу до процесу навчання й оцінювання знань, умінь і здібностей студентів з інвалідністю.</w:t>
            </w:r>
          </w:p>
          <w:p w:rsidR="00380969" w:rsidRPr="001A4F36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48608D">
              <w:rPr>
                <w:rFonts w:ascii="Times New Roman" w:hAnsi="Times New Roman" w:cs="Times New Roman"/>
                <w:lang w:val="uk-UA"/>
              </w:rPr>
              <w:t xml:space="preserve">Форми навчання: очна, </w:t>
            </w:r>
            <w:r w:rsidR="00275C6D">
              <w:rPr>
                <w:rFonts w:ascii="Times New Roman" w:hAnsi="Times New Roman" w:cs="Times New Roman"/>
                <w:lang w:val="uk-UA"/>
              </w:rPr>
              <w:t xml:space="preserve"> заочна, </w:t>
            </w:r>
            <w:r w:rsidRPr="0048608D">
              <w:rPr>
                <w:rFonts w:ascii="Times New Roman" w:hAnsi="Times New Roman" w:cs="Times New Roman"/>
                <w:lang w:val="uk-UA"/>
              </w:rPr>
              <w:t>дистанційна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Пререквізити</w:t>
            </w:r>
            <w:proofErr w:type="spellEnd"/>
          </w:p>
        </w:tc>
        <w:tc>
          <w:tcPr>
            <w:tcW w:w="5494" w:type="dxa"/>
          </w:tcPr>
          <w:p w:rsidR="00821BCE" w:rsidRPr="00821BCE" w:rsidRDefault="00821BCE" w:rsidP="00902C3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21BCE">
              <w:rPr>
                <w:rFonts w:ascii="Times New Roman" w:hAnsi="Times New Roman" w:cs="Times New Roman"/>
                <w:lang w:val="uk-UA"/>
              </w:rPr>
              <w:t xml:space="preserve">Навчальна дисципліна «Практика перекладу основної іноземної мови» – це навчальна дисципліна, що тісно пов’язана зі спеціальними дисциплінами: </w:t>
            </w:r>
          </w:p>
          <w:p w:rsidR="00380969" w:rsidRPr="00821BCE" w:rsidRDefault="00821BCE" w:rsidP="00902C3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21BCE">
              <w:rPr>
                <w:rFonts w:ascii="Times New Roman" w:hAnsi="Times New Roman" w:cs="Times New Roman"/>
                <w:lang w:val="uk-UA"/>
              </w:rPr>
              <w:t xml:space="preserve">«Практика усного та писемного мовлення» 1-4 курси, навчальна дисципліна «Практика перекладу основної іноземної мови (англ.)» тісно пов’язана із спеціальними теоретичними дисциплінами, як то «Вступ до </w:t>
            </w:r>
            <w:proofErr w:type="spellStart"/>
            <w:r w:rsidRPr="00821BCE">
              <w:rPr>
                <w:rFonts w:ascii="Times New Roman" w:hAnsi="Times New Roman" w:cs="Times New Roman"/>
                <w:lang w:val="uk-UA"/>
              </w:rPr>
              <w:t>перекладознавства</w:t>
            </w:r>
            <w:proofErr w:type="spellEnd"/>
            <w:r w:rsidRPr="00821BCE">
              <w:rPr>
                <w:rFonts w:ascii="Times New Roman" w:hAnsi="Times New Roman" w:cs="Times New Roman"/>
                <w:lang w:val="uk-UA"/>
              </w:rPr>
              <w:t>»,  «Загальна теорія перекладу», «Аспектний переклад», «Еквівалентний переклад семантичних мовних одиниць», «Переклад науково-технічної літератури» «Основи теорії мовної комунікації», «Термінологія основної іноземної мови», «Стилістика основної іноземної мови» тощо.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5494" w:type="dxa"/>
          </w:tcPr>
          <w:p w:rsidR="00380969" w:rsidRPr="00821BCE" w:rsidRDefault="00821BCE" w:rsidP="00902C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1B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«Практика перекладу основної іноземної мови», як навчальна дисципліна, покликаний сформувати у студента основні фахові навички та сприяти розвитку особистості молодої людини. Вивчення курсу допомагає студентам розвивати практичні навички перекладу, вміння користуватися словниками, довідниками, посібниками.</w:t>
            </w:r>
          </w:p>
        </w:tc>
      </w:tr>
      <w:tr w:rsidR="00380969" w:rsidRPr="005B0CB6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560D2B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Інформаційне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фонду та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репозитарію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Університету «Украї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5494" w:type="dxa"/>
          </w:tcPr>
          <w:p w:rsidR="00380969" w:rsidRDefault="00902C3C" w:rsidP="00902C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Карабан В.І. Переклад </w:t>
            </w:r>
            <w:proofErr w:type="spellStart"/>
            <w:proofErr w:type="gramStart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>англ</w:t>
            </w:r>
            <w:proofErr w:type="gramEnd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>ійської</w:t>
            </w:r>
            <w:proofErr w:type="spellEnd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>наукової</w:t>
            </w:r>
            <w:proofErr w:type="spellEnd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proofErr w:type="spellEnd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>технічної</w:t>
            </w:r>
            <w:proofErr w:type="spellEnd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>Граматичні</w:t>
            </w:r>
            <w:proofErr w:type="spellEnd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>труднощі</w:t>
            </w:r>
            <w:proofErr w:type="spellEnd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>лексичні</w:t>
            </w:r>
            <w:proofErr w:type="spellEnd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>термінологічні</w:t>
            </w:r>
            <w:proofErr w:type="spellEnd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>жанрово-стилістичні</w:t>
            </w:r>
            <w:proofErr w:type="spellEnd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>Вінниця</w:t>
            </w:r>
            <w:proofErr w:type="spellEnd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Нова книга, 2004. – 576 </w:t>
            </w:r>
            <w:proofErr w:type="gramStart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02C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2C3C" w:rsidRPr="00902C3C" w:rsidRDefault="00902C3C" w:rsidP="0080039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Локація та </w:t>
            </w:r>
            <w:proofErr w:type="spellStart"/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матеріально-</w:t>
            </w:r>
            <w:proofErr w:type="spellEnd"/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</w:t>
            </w: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ічне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5494" w:type="dxa"/>
          </w:tcPr>
          <w:p w:rsidR="00380969" w:rsidRPr="00810A52" w:rsidRDefault="00902C3C" w:rsidP="00AA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Лінгафонний кабінет</w:t>
            </w:r>
            <w:r w:rsidR="00380969" w:rsidRPr="00810A52">
              <w:rPr>
                <w:rFonts w:ascii="Times New Roman" w:hAnsi="Times New Roman" w:cs="Times New Roman"/>
                <w:sz w:val="24"/>
                <w:szCs w:val="24"/>
              </w:rPr>
              <w:t>, проектор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Семестровий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контроль,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екзаменаційна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методика</w:t>
            </w:r>
          </w:p>
        </w:tc>
        <w:tc>
          <w:tcPr>
            <w:tcW w:w="5494" w:type="dxa"/>
          </w:tcPr>
          <w:p w:rsidR="00380969" w:rsidRPr="00902C3C" w:rsidRDefault="0080039B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  <w:r w:rsidR="00380969" w:rsidRPr="00286926">
              <w:rPr>
                <w:rFonts w:ascii="Times New Roman" w:hAnsi="Times New Roman" w:cs="Times New Roman"/>
              </w:rPr>
              <w:t>,</w:t>
            </w:r>
            <w:r w:rsidR="00902C3C">
              <w:rPr>
                <w:rFonts w:ascii="Times New Roman" w:hAnsi="Times New Roman" w:cs="Times New Roman"/>
                <w:lang w:val="uk-UA"/>
              </w:rPr>
              <w:t xml:space="preserve"> іспит.</w:t>
            </w:r>
            <w:r w:rsidR="00902C3C">
              <w:rPr>
                <w:rFonts w:ascii="Times New Roman" w:hAnsi="Times New Roman" w:cs="Times New Roman"/>
              </w:rPr>
              <w:t xml:space="preserve"> </w:t>
            </w:r>
            <w:r w:rsidR="00902C3C">
              <w:rPr>
                <w:rFonts w:ascii="Times New Roman" w:hAnsi="Times New Roman" w:cs="Times New Roman"/>
                <w:lang w:val="uk-UA"/>
              </w:rPr>
              <w:t>Т</w:t>
            </w:r>
            <w:proofErr w:type="spellStart"/>
            <w:r w:rsidR="00380969" w:rsidRPr="00286926">
              <w:rPr>
                <w:rFonts w:ascii="Times New Roman" w:hAnsi="Times New Roman" w:cs="Times New Roman"/>
              </w:rPr>
              <w:t>естування</w:t>
            </w:r>
            <w:proofErr w:type="spellEnd"/>
            <w:r w:rsidR="00902C3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902C3C">
              <w:rPr>
                <w:rFonts w:ascii="Times New Roman" w:hAnsi="Times New Roman" w:cs="Times New Roman"/>
                <w:lang w:val="uk-UA"/>
              </w:rPr>
              <w:t>аудіювання</w:t>
            </w:r>
            <w:proofErr w:type="spellEnd"/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380969" w:rsidRPr="00286926" w:rsidRDefault="00902C3C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902C3C">
              <w:rPr>
                <w:rFonts w:ascii="Times New Roman" w:hAnsi="Times New Roman" w:cs="Times New Roman"/>
                <w:lang w:val="uk-UA"/>
              </w:rPr>
              <w:t>країнської мови і літератури, іноземних мов та перекладу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Інститут</w:t>
            </w:r>
          </w:p>
        </w:tc>
        <w:tc>
          <w:tcPr>
            <w:tcW w:w="5494" w:type="dxa"/>
          </w:tcPr>
          <w:p w:rsidR="00380969" w:rsidRPr="00286926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286926">
              <w:rPr>
                <w:rFonts w:ascii="Times New Roman" w:hAnsi="Times New Roman" w:cs="Times New Roman"/>
                <w:lang w:val="uk-UA"/>
              </w:rPr>
              <w:t>Філології та масових комунікацій</w:t>
            </w:r>
          </w:p>
        </w:tc>
      </w:tr>
      <w:tr w:rsidR="00380969" w:rsidRPr="00286926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9A0615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5494" w:type="dxa"/>
          </w:tcPr>
          <w:p w:rsidR="00902C3C" w:rsidRDefault="00902C3C" w:rsidP="00902C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  <w:lang w:val="uk-UA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  <w:lang w:val="uk-UA"/>
              </w:rPr>
              <w:t>Єнг</w:t>
            </w:r>
            <w:proofErr w:type="spellEnd"/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  <w:lang w:val="uk-UA"/>
              </w:rPr>
              <w:t xml:space="preserve"> Інна Сергіївна</w:t>
            </w:r>
          </w:p>
          <w:p w:rsidR="00902C3C" w:rsidRPr="00EF7D67" w:rsidRDefault="00902C3C" w:rsidP="00902C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il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bdr w:val="nil"/>
                <w:lang w:eastAsia="ru-RU"/>
              </w:rPr>
              <w:drawing>
                <wp:inline distT="0" distB="0" distL="0" distR="0">
                  <wp:extent cx="1377950" cy="1733550"/>
                  <wp:effectExtent l="19050" t="0" r="0" b="0"/>
                  <wp:docPr id="4" name="Рисунок 1" descr="B612_20191109_145407_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612_20191109_145407_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C3C" w:rsidRPr="00FB69A5" w:rsidRDefault="00902C3C" w:rsidP="00902C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il"/>
                <w:lang w:val="uk-UA"/>
              </w:rPr>
            </w:pPr>
            <w:r w:rsidRPr="00EF7D67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  <w:lang w:val="uk-UA"/>
              </w:rPr>
              <w:t xml:space="preserve">Посада: </w:t>
            </w:r>
            <w:r w:rsidRPr="00E57DE0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  <w:lang w:val="uk-UA"/>
              </w:rPr>
              <w:t>Завідувач кафедри української мови і літератури, іноземних мов та перекладу</w:t>
            </w:r>
          </w:p>
          <w:p w:rsidR="00902C3C" w:rsidRPr="00FB69A5" w:rsidRDefault="00902C3C" w:rsidP="00902C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il"/>
              </w:rPr>
            </w:pPr>
            <w:proofErr w:type="spellStart"/>
            <w:r w:rsidRPr="00FB69A5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>Профайл</w:t>
            </w:r>
            <w:proofErr w:type="spellEnd"/>
            <w:r w:rsidRPr="00FB69A5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 xml:space="preserve"> </w:t>
            </w:r>
            <w:proofErr w:type="spellStart"/>
            <w:r w:rsidRPr="00FB69A5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>викладача</w:t>
            </w:r>
            <w:proofErr w:type="spellEnd"/>
            <w:r w:rsidRPr="00FB69A5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>:</w:t>
            </w:r>
            <w:r w:rsidRPr="00FB69A5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  <w:lang w:val="uk-UA"/>
              </w:rPr>
              <w:t xml:space="preserve"> </w:t>
            </w:r>
          </w:p>
          <w:p w:rsidR="00902C3C" w:rsidRPr="009A75DC" w:rsidRDefault="00902C3C" w:rsidP="00902C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il"/>
              </w:rPr>
            </w:pPr>
            <w:r w:rsidRPr="00FB69A5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>Тел</w:t>
            </w:r>
            <w:r w:rsidRPr="009A75DC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 xml:space="preserve">.: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050-817-95-25</w:t>
            </w:r>
          </w:p>
          <w:p w:rsidR="00902C3C" w:rsidRDefault="00902C3C" w:rsidP="00902C3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B69A5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>E</w:t>
            </w:r>
            <w:r w:rsidRPr="00E57DE0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>-</w:t>
            </w:r>
            <w:r w:rsidRPr="00FB69A5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>mail</w:t>
            </w:r>
            <w:proofErr w:type="spellEnd"/>
            <w:r w:rsidRPr="00E57DE0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 xml:space="preserve">: </w:t>
            </w:r>
            <w:hyperlink r:id="rId8" w:history="1">
              <w:r w:rsidRPr="001C3D9E">
                <w:rPr>
                  <w:rStyle w:val="a5"/>
                  <w:rFonts w:ascii="Times New Roman" w:hAnsi="Times New Roman"/>
                  <w:sz w:val="24"/>
                  <w:szCs w:val="24"/>
                </w:rPr>
                <w:t>innayeung@gmail.com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86926">
              <w:rPr>
                <w:rFonts w:ascii="Times New Roman" w:hAnsi="Times New Roman" w:cs="Times New Roman"/>
              </w:rPr>
              <w:t xml:space="preserve"> </w:t>
            </w:r>
          </w:p>
          <w:p w:rsidR="00380969" w:rsidRPr="00286926" w:rsidRDefault="00380969" w:rsidP="00902C3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6926">
              <w:rPr>
                <w:rFonts w:ascii="Times New Roman" w:hAnsi="Times New Roman" w:cs="Times New Roman"/>
              </w:rPr>
              <w:t>Робоче</w:t>
            </w:r>
            <w:proofErr w:type="spellEnd"/>
            <w:r w:rsidRPr="00486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6926">
              <w:rPr>
                <w:rFonts w:ascii="Times New Roman" w:hAnsi="Times New Roman" w:cs="Times New Roman"/>
              </w:rPr>
              <w:t>місце</w:t>
            </w:r>
            <w:proofErr w:type="spellEnd"/>
            <w:r w:rsidRPr="0048608D">
              <w:rPr>
                <w:rFonts w:ascii="Times New Roman" w:hAnsi="Times New Roman" w:cs="Times New Roman"/>
              </w:rPr>
              <w:t xml:space="preserve">: (ІІІ </w:t>
            </w:r>
            <w:proofErr w:type="spellStart"/>
            <w:r w:rsidRPr="0048608D">
              <w:rPr>
                <w:rFonts w:ascii="Times New Roman" w:hAnsi="Times New Roman" w:cs="Times New Roman"/>
              </w:rPr>
              <w:t>кор</w:t>
            </w:r>
            <w:proofErr w:type="spellEnd"/>
            <w:r w:rsidRPr="0048608D">
              <w:rPr>
                <w:rFonts w:ascii="Times New Roman" w:hAnsi="Times New Roman" w:cs="Times New Roman"/>
              </w:rPr>
              <w:t>.)</w:t>
            </w:r>
            <w:r w:rsidR="00902C3C">
              <w:rPr>
                <w:rFonts w:ascii="Times New Roman" w:hAnsi="Times New Roman" w:cs="Times New Roman"/>
                <w:lang w:val="uk-UA"/>
              </w:rPr>
              <w:t xml:space="preserve"> 402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80969" w:rsidRPr="00286926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286926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Оригінальність</w:t>
            </w:r>
            <w:proofErr w:type="spellEnd"/>
            <w:r w:rsidRPr="00286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</w:t>
            </w:r>
            <w:proofErr w:type="spellEnd"/>
            <w:r w:rsidRPr="00286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5494" w:type="dxa"/>
          </w:tcPr>
          <w:p w:rsidR="00380969" w:rsidRPr="00902C3C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</w:t>
            </w:r>
            <w:proofErr w:type="spellStart"/>
            <w:r w:rsidRPr="00286926">
              <w:rPr>
                <w:rFonts w:ascii="Times New Roman" w:hAnsi="Times New Roman" w:cs="Times New Roman"/>
              </w:rPr>
              <w:t>вторський</w:t>
            </w:r>
            <w:proofErr w:type="spellEnd"/>
            <w:r w:rsidRPr="00286926">
              <w:rPr>
                <w:rFonts w:ascii="Times New Roman" w:hAnsi="Times New Roman" w:cs="Times New Roman"/>
              </w:rPr>
              <w:t xml:space="preserve"> курс, </w:t>
            </w:r>
            <w:proofErr w:type="spellStart"/>
            <w:r w:rsidRPr="00286926">
              <w:rPr>
                <w:rFonts w:ascii="Times New Roman" w:hAnsi="Times New Roman" w:cs="Times New Roman"/>
              </w:rPr>
              <w:t>викладання</w:t>
            </w:r>
            <w:proofErr w:type="spellEnd"/>
            <w:r w:rsidRPr="002869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українською</w:t>
            </w:r>
            <w:r w:rsidR="00902C3C">
              <w:rPr>
                <w:rFonts w:ascii="Times New Roman" w:hAnsi="Times New Roman" w:cs="Times New Roman"/>
                <w:lang w:val="uk-UA"/>
              </w:rPr>
              <w:t xml:space="preserve">, англійською </w:t>
            </w:r>
            <w:r w:rsidRPr="00286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6926">
              <w:rPr>
                <w:rFonts w:ascii="Times New Roman" w:hAnsi="Times New Roman" w:cs="Times New Roman"/>
              </w:rPr>
              <w:t>мов</w:t>
            </w:r>
            <w:r w:rsidR="00902C3C">
              <w:rPr>
                <w:rFonts w:ascii="Times New Roman" w:hAnsi="Times New Roman" w:cs="Times New Roman"/>
                <w:lang w:val="uk-UA"/>
              </w:rPr>
              <w:t>ами</w:t>
            </w:r>
            <w:proofErr w:type="spellEnd"/>
          </w:p>
        </w:tc>
      </w:tr>
      <w:tr w:rsidR="00380969" w:rsidRPr="0064456F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67F04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7F04">
              <w:rPr>
                <w:rFonts w:ascii="Times New Roman" w:hAnsi="Times New Roman" w:cs="Times New Roman"/>
                <w:b/>
                <w:sz w:val="24"/>
                <w:szCs w:val="24"/>
              </w:rPr>
              <w:t>Лінк</w:t>
            </w:r>
            <w:proofErr w:type="spellEnd"/>
            <w:r w:rsidRPr="00F67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F67F0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дисципліну</w:t>
            </w:r>
            <w:proofErr w:type="spellEnd"/>
          </w:p>
        </w:tc>
        <w:tc>
          <w:tcPr>
            <w:tcW w:w="5494" w:type="dxa"/>
          </w:tcPr>
          <w:p w:rsidR="00380969" w:rsidRPr="00A4151C" w:rsidRDefault="00902C3C" w:rsidP="00AA6AD9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380969" w:rsidRPr="00844DB6" w:rsidRDefault="00380969" w:rsidP="00380969">
      <w:pPr>
        <w:rPr>
          <w:lang w:val="uk-UA"/>
        </w:rPr>
      </w:pPr>
    </w:p>
    <w:p w:rsidR="00380969" w:rsidRDefault="00380969" w:rsidP="00380969">
      <w:pPr>
        <w:rPr>
          <w:lang w:val="uk-UA"/>
        </w:rPr>
      </w:pPr>
    </w:p>
    <w:p w:rsidR="00380969" w:rsidRDefault="00380969" w:rsidP="00380969">
      <w:pPr>
        <w:rPr>
          <w:lang w:val="uk-UA"/>
        </w:rPr>
      </w:pPr>
    </w:p>
    <w:p w:rsidR="00380969" w:rsidRDefault="00380969" w:rsidP="00380969">
      <w:pPr>
        <w:rPr>
          <w:lang w:val="uk-UA"/>
        </w:rPr>
      </w:pPr>
    </w:p>
    <w:p w:rsidR="00380969" w:rsidRPr="004122C2" w:rsidRDefault="00380969" w:rsidP="0038096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96E8A" w:rsidRPr="00380969" w:rsidRDefault="00F96E8A">
      <w:pPr>
        <w:rPr>
          <w:lang w:val="uk-UA"/>
        </w:rPr>
      </w:pPr>
    </w:p>
    <w:sectPr w:rsidR="00F96E8A" w:rsidRPr="00380969" w:rsidSect="004573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3FC" w:rsidRDefault="00C943FC" w:rsidP="006F7DA6">
      <w:pPr>
        <w:spacing w:after="0" w:line="240" w:lineRule="auto"/>
      </w:pPr>
      <w:r>
        <w:separator/>
      </w:r>
    </w:p>
  </w:endnote>
  <w:endnote w:type="continuationSeparator" w:id="0">
    <w:p w:rsidR="00C943FC" w:rsidRDefault="00C943FC" w:rsidP="006F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23" w:rsidRDefault="00C943F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23" w:rsidRDefault="00C943F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23" w:rsidRDefault="00C943F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3FC" w:rsidRDefault="00C943FC" w:rsidP="006F7DA6">
      <w:pPr>
        <w:spacing w:after="0" w:line="240" w:lineRule="auto"/>
      </w:pPr>
      <w:r>
        <w:separator/>
      </w:r>
    </w:p>
  </w:footnote>
  <w:footnote w:type="continuationSeparator" w:id="0">
    <w:p w:rsidR="00C943FC" w:rsidRDefault="00C943FC" w:rsidP="006F7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23" w:rsidRDefault="00C943F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2A" w:rsidRPr="0030692A" w:rsidRDefault="00C943FC" w:rsidP="0030692A">
    <w:pPr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23" w:rsidRDefault="00C943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9D6"/>
    <w:multiLevelType w:val="hybridMultilevel"/>
    <w:tmpl w:val="AAFCFA7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7F02D4A8">
      <w:start w:val="4"/>
      <w:numFmt w:val="bullet"/>
      <w:lvlText w:val="•"/>
      <w:lvlJc w:val="left"/>
      <w:pPr>
        <w:ind w:left="101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">
    <w:nsid w:val="209C2A3F"/>
    <w:multiLevelType w:val="hybridMultilevel"/>
    <w:tmpl w:val="FCB0A382"/>
    <w:lvl w:ilvl="0" w:tplc="4C8C1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969"/>
    <w:rsid w:val="00077F49"/>
    <w:rsid w:val="00275C6D"/>
    <w:rsid w:val="00380969"/>
    <w:rsid w:val="00466BCC"/>
    <w:rsid w:val="0064456F"/>
    <w:rsid w:val="006C163A"/>
    <w:rsid w:val="006F7DA6"/>
    <w:rsid w:val="0080039B"/>
    <w:rsid w:val="00821BCE"/>
    <w:rsid w:val="00880F30"/>
    <w:rsid w:val="00902C3C"/>
    <w:rsid w:val="00C943FC"/>
    <w:rsid w:val="00F9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9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8096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8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380969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0969"/>
    <w:pPr>
      <w:widowControl w:val="0"/>
      <w:shd w:val="clear" w:color="auto" w:fill="FFFFFF"/>
      <w:spacing w:after="300" w:line="0" w:lineRule="atLeast"/>
      <w:jc w:val="center"/>
    </w:pPr>
    <w:rPr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8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96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275C6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275C6D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ayeung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Inna</cp:lastModifiedBy>
  <cp:revision>2</cp:revision>
  <dcterms:created xsi:type="dcterms:W3CDTF">2021-04-06T20:51:00Z</dcterms:created>
  <dcterms:modified xsi:type="dcterms:W3CDTF">2021-04-06T20:51:00Z</dcterms:modified>
</cp:coreProperties>
</file>