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86" w:rsidRPr="00703E86" w:rsidRDefault="00703E86" w:rsidP="006F15F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Helvetica"/>
          <w:b/>
          <w:color w:val="000000"/>
          <w:kern w:val="36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b/>
          <w:color w:val="000000"/>
          <w:kern w:val="36"/>
          <w:sz w:val="24"/>
          <w:szCs w:val="24"/>
          <w:lang w:val="ru-RU"/>
        </w:rPr>
        <w:t>Розміри</w:t>
      </w:r>
      <w:proofErr w:type="spellEnd"/>
      <w:r w:rsidRPr="00703E86">
        <w:rPr>
          <w:rFonts w:ascii="Bookman Old Style" w:eastAsia="Times New Roman" w:hAnsi="Bookman Old Style" w:cs="Helvetica"/>
          <w:b/>
          <w:color w:val="000000"/>
          <w:kern w:val="36"/>
          <w:sz w:val="24"/>
          <w:szCs w:val="24"/>
          <w:lang w:val="ru-RU"/>
        </w:rPr>
        <w:t xml:space="preserve"> ЄСВ-2021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Єдиний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соціальний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внесок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на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загальнообов'язкове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державне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соціальне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страхування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(скор.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r w:rsidRPr="00703E86">
        <w:rPr>
          <w:rFonts w:ascii="Bookman Old Style" w:eastAsia="Times New Roman" w:hAnsi="Bookman Old Style" w:cs="Helvetica"/>
          <w:i/>
          <w:iCs/>
          <w:color w:val="232B30"/>
          <w:sz w:val="24"/>
          <w:szCs w:val="24"/>
          <w:lang w:val="ru-RU"/>
        </w:rPr>
        <w:t>ЄСВ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)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—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консолідований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страховий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внесок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в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Україні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збір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здійснюється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в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системі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загальнообов'язкового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державного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страхування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в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обов'язковому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порядку та на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регулярній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основі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У 2021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році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розмір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зарплати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hyperlink r:id="rId5" w:tgtFrame="_blank" w:history="1">
        <w:r w:rsidRPr="00703E86">
          <w:rPr>
            <w:rFonts w:ascii="Bookman Old Style" w:eastAsia="Times New Roman" w:hAnsi="Bookman Old Style" w:cs="Helvetica"/>
            <w:color w:val="C11320"/>
            <w:sz w:val="24"/>
            <w:szCs w:val="24"/>
            <w:u w:val="single"/>
            <w:lang w:val="ru-RU"/>
          </w:rPr>
          <w:t xml:space="preserve">буде </w:t>
        </w:r>
        <w:proofErr w:type="spellStart"/>
        <w:r w:rsidRPr="00703E86">
          <w:rPr>
            <w:rFonts w:ascii="Bookman Old Style" w:eastAsia="Times New Roman" w:hAnsi="Bookman Old Style" w:cs="Helvetica"/>
            <w:color w:val="C11320"/>
            <w:sz w:val="24"/>
            <w:szCs w:val="24"/>
            <w:u w:val="single"/>
            <w:lang w:val="ru-RU"/>
          </w:rPr>
          <w:t>змінюватися</w:t>
        </w:r>
        <w:proofErr w:type="spellEnd"/>
      </w:hyperlink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двічі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: з 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(6000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) та з 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грудня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(6500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). 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отже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будуть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змінюватися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та максимальна сума ЄСВ.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Мінімальний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страховий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внесок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з ЄСВ:</w:t>
      </w:r>
    </w:p>
    <w:p w:rsidR="00703E86" w:rsidRPr="00703E86" w:rsidRDefault="00703E86" w:rsidP="006F15FF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з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по листопад 6000 х 22% = 1320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,</w:t>
      </w:r>
    </w:p>
    <w:p w:rsidR="00703E86" w:rsidRPr="00703E86" w:rsidRDefault="00703E86" w:rsidP="006F15FF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за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грудень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 – 1430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грн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Максимальна база для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нарахування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ЄСВ:</w:t>
      </w:r>
    </w:p>
    <w:p w:rsidR="00703E86" w:rsidRPr="00703E86" w:rsidRDefault="00703E86" w:rsidP="006F15FF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з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по листопад - 90 000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,</w:t>
      </w:r>
    </w:p>
    <w:p w:rsidR="00703E86" w:rsidRPr="00703E86" w:rsidRDefault="00703E86" w:rsidP="006F15FF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грудні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 – 97 500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грн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.</w:t>
      </w:r>
    </w:p>
    <w:tbl>
      <w:tblPr>
        <w:tblW w:w="10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1929"/>
        <w:gridCol w:w="1137"/>
        <w:gridCol w:w="1271"/>
        <w:gridCol w:w="1287"/>
        <w:gridCol w:w="1271"/>
      </w:tblGrid>
      <w:tr w:rsidR="006F15FF" w:rsidRPr="00703E86" w:rsidTr="006F15FF">
        <w:trPr>
          <w:jc w:val="center"/>
        </w:trPr>
        <w:tc>
          <w:tcPr>
            <w:tcW w:w="3240" w:type="dxa"/>
            <w:vMerge w:val="restar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платника</w:t>
            </w:r>
            <w:proofErr w:type="spellEnd"/>
          </w:p>
        </w:tc>
        <w:tc>
          <w:tcPr>
            <w:tcW w:w="2281" w:type="dxa"/>
            <w:vMerge w:val="restar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Строк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сплати</w:t>
            </w:r>
            <w:proofErr w:type="spellEnd"/>
          </w:p>
        </w:tc>
        <w:tc>
          <w:tcPr>
            <w:tcW w:w="4763" w:type="dxa"/>
            <w:gridSpan w:val="4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Мінімальний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страховий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внесок</w:t>
            </w:r>
            <w:proofErr w:type="spellEnd"/>
          </w:p>
        </w:tc>
      </w:tr>
      <w:tr w:rsidR="006F15FF" w:rsidRPr="00703E86" w:rsidTr="006F15FF">
        <w:trPr>
          <w:jc w:val="center"/>
        </w:trPr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  <w:vAlign w:val="center"/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З 1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листопада</w:t>
            </w:r>
            <w:proofErr w:type="spellEnd"/>
          </w:p>
        </w:tc>
        <w:tc>
          <w:tcPr>
            <w:tcW w:w="2453" w:type="dxa"/>
            <w:gridSpan w:val="2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З 1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грудня</w:t>
            </w:r>
            <w:proofErr w:type="spellEnd"/>
          </w:p>
        </w:tc>
      </w:tr>
      <w:tr w:rsidR="006F15FF" w:rsidRPr="00703E86" w:rsidTr="006F15FF">
        <w:trPr>
          <w:jc w:val="center"/>
        </w:trPr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  <w:vAlign w:val="center"/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місяць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19" w:type="dxa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квартал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34" w:type="dxa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грудень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19" w:type="dxa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IV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квартал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6F15FF" w:rsidRPr="00703E86" w:rsidTr="006F15FF">
        <w:trPr>
          <w:jc w:val="center"/>
        </w:trPr>
        <w:tc>
          <w:tcPr>
            <w:tcW w:w="3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ФОП,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обрали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спрощену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ru-RU"/>
              </w:rPr>
              <w:t>незалежно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ru-RU"/>
              </w:rPr>
              <w:t xml:space="preserve"> від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ru-RU"/>
              </w:rPr>
              <w:t>обраної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До 20 числа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місяця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настає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кварталом, за який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сплачується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внесок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(19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1320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3960</w:t>
            </w:r>
          </w:p>
        </w:tc>
        <w:tc>
          <w:tcPr>
            <w:tcW w:w="12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1430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4070</w:t>
            </w:r>
          </w:p>
        </w:tc>
      </w:tr>
      <w:tr w:rsidR="006F15FF" w:rsidRPr="00703E86" w:rsidTr="006F15FF">
        <w:trPr>
          <w:jc w:val="center"/>
        </w:trPr>
        <w:tc>
          <w:tcPr>
            <w:tcW w:w="3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ФОП,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обрали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оподаткування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До 20 числа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місяця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настає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кварталом, за який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сплачується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внесок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(19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lastRenderedPageBreak/>
              <w:t>квітня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, 19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)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Остаточний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календарний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до 10 лютого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наступного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0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3960</w:t>
            </w:r>
          </w:p>
        </w:tc>
        <w:tc>
          <w:tcPr>
            <w:tcW w:w="12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1430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4070</w:t>
            </w:r>
          </w:p>
        </w:tc>
      </w:tr>
      <w:tr w:rsidR="006F15FF" w:rsidRPr="00703E86" w:rsidTr="006F15FF">
        <w:trPr>
          <w:jc w:val="center"/>
        </w:trPr>
        <w:tc>
          <w:tcPr>
            <w:tcW w:w="3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lastRenderedPageBreak/>
              <w:t xml:space="preserve">Особи,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провадять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незалежну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професійну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До 20 числа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місяця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настає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кварталом, за який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сплачується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внесок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(19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, 19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)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Остаточний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календарний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до 1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року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наступного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звітним</w:t>
            </w:r>
            <w:proofErr w:type="spellEnd"/>
          </w:p>
        </w:tc>
        <w:tc>
          <w:tcPr>
            <w:tcW w:w="10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1320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3960</w:t>
            </w:r>
          </w:p>
        </w:tc>
        <w:tc>
          <w:tcPr>
            <w:tcW w:w="12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1430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4070</w:t>
            </w:r>
          </w:p>
        </w:tc>
      </w:tr>
      <w:tr w:rsidR="006F15FF" w:rsidRPr="00703E86" w:rsidTr="006F15FF">
        <w:trPr>
          <w:jc w:val="center"/>
        </w:trPr>
        <w:tc>
          <w:tcPr>
            <w:tcW w:w="32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Члени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фермерського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До 20 числа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місяця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настає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кварталом, за який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сплачується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внесок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(19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, 19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липня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19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1320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3960</w:t>
            </w:r>
          </w:p>
        </w:tc>
        <w:tc>
          <w:tcPr>
            <w:tcW w:w="12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1430</w:t>
            </w:r>
          </w:p>
        </w:tc>
        <w:tc>
          <w:tcPr>
            <w:tcW w:w="12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4070</w:t>
            </w:r>
          </w:p>
        </w:tc>
      </w:tr>
    </w:tbl>
    <w:p w:rsidR="00703E86" w:rsidRPr="00703E86" w:rsidRDefault="00703E86" w:rsidP="006F15FF">
      <w:pPr>
        <w:shd w:val="clear" w:color="auto" w:fill="FFFFFF"/>
        <w:spacing w:after="0" w:line="384" w:lineRule="atLeast"/>
        <w:jc w:val="both"/>
        <w:rPr>
          <w:rFonts w:ascii="Bookman Old Style" w:eastAsia="Times New Roman" w:hAnsi="Bookman Old Style" w:cs="Helvetica"/>
          <w:color w:val="232B30"/>
          <w:sz w:val="24"/>
          <w:szCs w:val="24"/>
        </w:rPr>
      </w:pPr>
    </w:p>
    <w:p w:rsidR="006F15FF" w:rsidRDefault="006F15FF">
      <w:pPr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</w:pPr>
      <w:r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br w:type="page"/>
      </w:r>
    </w:p>
    <w:p w:rsidR="00703E86" w:rsidRPr="00703E86" w:rsidRDefault="00703E86" w:rsidP="006F15FF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bookmarkStart w:id="0" w:name="_GoBack"/>
      <w:bookmarkEnd w:id="0"/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lastRenderedPageBreak/>
        <w:t>Хто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сплачує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з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ФОПів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ЄСВ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Крім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працівників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ФОП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сплачують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і </w:t>
      </w:r>
      <w:proofErr w:type="gram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 себе</w:t>
      </w:r>
      <w:proofErr w:type="gram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.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Проте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у 2021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</w:t>
      </w:r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оці</w:t>
      </w:r>
      <w:proofErr w:type="spellEnd"/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правила </w:t>
      </w:r>
      <w:proofErr w:type="spellStart"/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такої</w:t>
      </w:r>
      <w:proofErr w:type="spellEnd"/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</w:t>
      </w:r>
      <w:proofErr w:type="spellEnd"/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змінили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З 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2021 року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самозайняті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особи (ФОП,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фізособи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здійснюють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профдіяльність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члени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фермерського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господарства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),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перебувать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загальній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системі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оподаткування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зможуть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сплачувати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gram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 себе</w:t>
      </w:r>
      <w:proofErr w:type="gram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в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разі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відсутності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прибутку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прибутку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).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Тобто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якщо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ФОПом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буде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отримано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дохід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прибуток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)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звітному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періоді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або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окремому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місяці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звітного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періоду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він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матиме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право</w:t>
      </w:r>
      <w:r w:rsidR="006F15FF" w:rsidRP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самостійно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визначити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базу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нарахування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але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більше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максимальної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величини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бази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нарахування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ЄСВ. При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цьому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сума ЄСВ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може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бути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меншою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розмір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Якщо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в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певному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місяці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або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навіть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і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році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)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оподаткованого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ПДФО та ВЗ чистого доходу в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самозайнятої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особи не буде, то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він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має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право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визначати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базу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нарахування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ЄСВ, 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отже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і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платити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такий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період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Проте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слід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пам'ятати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про правило –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немає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немає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і страхового стажу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цей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період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!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ФОПи-працівники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.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Якщо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ФОП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(як "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загальники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", так й "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єдинники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")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або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фізособи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здійснюють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профдіяльність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одночасно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перебуватимуть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трудових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відносинах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то вони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зможуть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платити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</w:t>
      </w:r>
      <w:proofErr w:type="gram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 себе</w:t>
      </w:r>
      <w:proofErr w:type="gram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З 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2021 р. ФОП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або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фізособа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яка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здійснює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профдіяльність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перебувають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трудових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відносинах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мають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право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платити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</w:t>
      </w:r>
      <w:proofErr w:type="gram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 себе</w:t>
      </w:r>
      <w:proofErr w:type="gram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.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умови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що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роботодавець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сплатив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за них ЄСВ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розмірі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менше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Якщо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роботодавець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сплатив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ЄСВ, але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менше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то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такі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самозайняті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особи ЄСВ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платитимуть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.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Проте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менше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ніж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звичайно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. 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Такі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можуть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бути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платниками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умови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самостійного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визначення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місяці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звітного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періоду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роботодавцем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було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сплачено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страховий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внесок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за таких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осіб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розмірі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менше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бази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нарахування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але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більше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максимальної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величини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бази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нарахування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єдиного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встановленої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цим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Законом. При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цьому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сума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єдиного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може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бути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меншою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розмір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lastRenderedPageBreak/>
        <w:t>Тобто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в такому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випадку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самозайнята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зможе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доплатити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gram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 себе</w:t>
      </w:r>
      <w:proofErr w:type="gram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лише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різницю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до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мінімального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(а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може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і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більше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проте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більше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максимального страхового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внеску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).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ФОП-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незалежник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  <w:r w:rsidR="006F15FF" w:rsidRP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З 1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2021 р.,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якщо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фізична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зареєстрована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як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підприємець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та при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цьому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провадить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професійну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діяльність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така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фізична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обліковується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ДПС як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фізична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особа –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підприємець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з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ознакою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провадження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професійної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діяльності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703E86" w:rsidRPr="00703E86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ФОП-«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незалежник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», який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отримує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пенсію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або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соцдопомогу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ЄСВ </w:t>
      </w:r>
      <w:proofErr w:type="gram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 себе</w:t>
      </w:r>
      <w:proofErr w:type="gram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сплачуватиме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.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Хоча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може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і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платити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–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умови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добровільної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участі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системі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загальнообов'язкового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державного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соціального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страхування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</w:p>
    <w:p w:rsidR="006F15FF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У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звичайної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фізособи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яка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здійснює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незалежну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профдіяльність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і статусу ФОП не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має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,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такої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пільги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не буде. </w:t>
      </w:r>
    </w:p>
    <w:p w:rsidR="006F15FF" w:rsidRDefault="00703E86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Фізособи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-«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єдинники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» І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групи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.</w:t>
      </w:r>
      <w:r w:rsidR="006F15FF" w:rsidRPr="006F15FF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Через карантин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ФОПи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І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групи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звільняються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від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сплати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ЄСВ за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січень-травень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2021 року.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Це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>передбачено</w:t>
      </w:r>
      <w:proofErr w:type="spellEnd"/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 нормами</w:t>
      </w:r>
      <w:r w:rsidRPr="00703E86">
        <w:rPr>
          <w:rFonts w:ascii="Bookman Old Style" w:eastAsia="Times New Roman" w:hAnsi="Bookman Old Style" w:cs="Helvetica"/>
          <w:color w:val="232B30"/>
          <w:sz w:val="24"/>
          <w:szCs w:val="24"/>
        </w:rPr>
        <w:t> </w:t>
      </w:r>
      <w:hyperlink r:id="rId6" w:tgtFrame="_blank" w:history="1">
        <w:r w:rsidRPr="00703E86">
          <w:rPr>
            <w:rFonts w:ascii="Bookman Old Style" w:eastAsia="Times New Roman" w:hAnsi="Bookman Old Style" w:cs="Helvetica"/>
            <w:color w:val="C11320"/>
            <w:sz w:val="24"/>
            <w:szCs w:val="24"/>
            <w:u w:val="single"/>
            <w:lang w:val="ru-RU"/>
          </w:rPr>
          <w:t>Закону № 1072</w:t>
        </w:r>
      </w:hyperlink>
      <w:r w:rsidRPr="00703E86"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  <w:t xml:space="preserve">. </w:t>
      </w:r>
    </w:p>
    <w:p w:rsidR="006F15FF" w:rsidRPr="00703E86" w:rsidRDefault="006F15FF" w:rsidP="006F15FF">
      <w:pPr>
        <w:shd w:val="clear" w:color="auto" w:fill="FFFFFF"/>
        <w:spacing w:after="0" w:line="384" w:lineRule="atLeast"/>
        <w:ind w:firstLine="567"/>
        <w:jc w:val="both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</w:p>
    <w:p w:rsidR="00703E86" w:rsidRPr="00703E86" w:rsidRDefault="00703E86" w:rsidP="006F15FF">
      <w:pPr>
        <w:shd w:val="clear" w:color="auto" w:fill="FFFFFF"/>
        <w:spacing w:after="0" w:line="240" w:lineRule="auto"/>
        <w:jc w:val="both"/>
        <w:outlineLvl w:val="2"/>
        <w:rPr>
          <w:rFonts w:ascii="Bookman Old Style" w:eastAsia="Times New Roman" w:hAnsi="Bookman Old Style" w:cs="Helvetica"/>
          <w:color w:val="232B30"/>
          <w:sz w:val="24"/>
          <w:szCs w:val="24"/>
          <w:lang w:val="ru-RU"/>
        </w:rPr>
      </w:pP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Таблиця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розмірів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ЄСВ,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які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нараховуються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залежно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від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видів</w:t>
      </w:r>
      <w:proofErr w:type="spellEnd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 xml:space="preserve"> </w:t>
      </w:r>
      <w:proofErr w:type="spellStart"/>
      <w:r w:rsidRPr="00703E86">
        <w:rPr>
          <w:rFonts w:ascii="Bookman Old Style" w:eastAsia="Times New Roman" w:hAnsi="Bookman Old Style" w:cs="Helvetica"/>
          <w:b/>
          <w:bCs/>
          <w:color w:val="232B30"/>
          <w:sz w:val="24"/>
          <w:szCs w:val="24"/>
          <w:lang w:val="ru-RU"/>
        </w:rPr>
        <w:t>доходів</w:t>
      </w:r>
      <w:proofErr w:type="spellEnd"/>
    </w:p>
    <w:tbl>
      <w:tblPr>
        <w:tblW w:w="98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3965"/>
      </w:tblGrid>
      <w:tr w:rsidR="00703E86" w:rsidRPr="00703E86" w:rsidTr="006F15FF">
        <w:trPr>
          <w:jc w:val="center"/>
        </w:trPr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доходів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Ставка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ЄСВ</w:t>
            </w:r>
          </w:p>
        </w:tc>
      </w:tr>
      <w:tr w:rsidR="00703E86" w:rsidRPr="00703E86" w:rsidTr="006F15F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Фонд оплати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(п. 2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№5)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найманих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у т. ч.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іноземців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Роботодавці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нараховують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ЄСВ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ставкою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</w:rPr>
              <w:t>22%</w:t>
            </w:r>
          </w:p>
        </w:tc>
      </w:tr>
      <w:tr w:rsidR="00703E86" w:rsidRPr="00703E86" w:rsidTr="006F15F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Винагороди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фізособам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цивільно-правовими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договорами,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цивільно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-правового договору,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укладеного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фізособою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-СПД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фізособи-підприємці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нараховують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22% на суму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винагороди</w:t>
            </w:r>
            <w:proofErr w:type="spellEnd"/>
          </w:p>
        </w:tc>
      </w:tr>
      <w:tr w:rsidR="00703E86" w:rsidRPr="00703E86" w:rsidTr="006F15F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 ТВП (як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перші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п'ять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так і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решта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хвороби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вагітності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та пологах за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ФСС)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Роботодавці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нараховують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22% на суму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703E86" w:rsidRPr="00703E86" w:rsidTr="006F15FF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Заробітна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плата і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лікарняні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працівників-інвалідів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86" w:rsidRPr="00703E86" w:rsidRDefault="00703E86" w:rsidP="006F15F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</w:pPr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З 2019 року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роботодавці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нараховують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сплачують</w:t>
            </w:r>
            <w:proofErr w:type="spellEnd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 xml:space="preserve"> 8,41% на фонд оплати </w:t>
            </w:r>
            <w:proofErr w:type="spellStart"/>
            <w:r w:rsidRPr="00703E86">
              <w:rPr>
                <w:rFonts w:ascii="Bookman Old Style" w:eastAsia="Times New Roman" w:hAnsi="Bookman Old Style" w:cs="Times New Roman"/>
                <w:sz w:val="24"/>
                <w:szCs w:val="24"/>
                <w:lang w:val="ru-RU"/>
              </w:rPr>
              <w:t>праці</w:t>
            </w:r>
            <w:proofErr w:type="spellEnd"/>
          </w:p>
        </w:tc>
      </w:tr>
    </w:tbl>
    <w:p w:rsidR="00043D2A" w:rsidRPr="006F15FF" w:rsidRDefault="00043D2A" w:rsidP="006F15F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043D2A" w:rsidRPr="006F15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454C"/>
    <w:multiLevelType w:val="multilevel"/>
    <w:tmpl w:val="6B1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765AC"/>
    <w:multiLevelType w:val="multilevel"/>
    <w:tmpl w:val="781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4"/>
    <w:rsid w:val="00043D2A"/>
    <w:rsid w:val="006F15FF"/>
    <w:rsid w:val="00703E86"/>
    <w:rsid w:val="007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16DA"/>
  <w15:chartTrackingRefBased/>
  <w15:docId w15:val="{0C552B3F-999E-4088-B1F1-B1AC2DF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72-20" TargetMode="External"/><Relationship Id="rId5" Type="http://schemas.openxmlformats.org/officeDocument/2006/relationships/hyperlink" Target="https://news.dtkt.ua/state/laws-and-regulations/66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3</cp:revision>
  <dcterms:created xsi:type="dcterms:W3CDTF">2021-11-18T09:45:00Z</dcterms:created>
  <dcterms:modified xsi:type="dcterms:W3CDTF">2021-11-18T09:50:00Z</dcterms:modified>
</cp:coreProperties>
</file>