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828" w:rsidRDefault="00CC1828" w:rsidP="00CC1828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Лекція № </w:t>
      </w:r>
      <w:r w:rsidR="00431DE4"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C1828">
        <w:rPr>
          <w:rFonts w:ascii="Times New Roman" w:hAnsi="Times New Roman" w:cs="Times New Roman"/>
          <w:bCs/>
          <w:sz w:val="28"/>
          <w:szCs w:val="28"/>
          <w:lang w:val="uk-UA"/>
        </w:rPr>
        <w:t>Частина(І</w:t>
      </w:r>
      <w:r w:rsidRPr="00CC1828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CC1828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63D17" w:rsidRDefault="00CC1828" w:rsidP="00CC1828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Тема: </w:t>
      </w:r>
      <w:r w:rsidRPr="009C0544">
        <w:rPr>
          <w:rFonts w:ascii="Times New Roman" w:hAnsi="Times New Roman" w:cs="Times New Roman"/>
          <w:bCs/>
          <w:sz w:val="28"/>
          <w:szCs w:val="28"/>
          <w:lang w:val="uk-UA"/>
        </w:rPr>
        <w:t>МИСТЕЦТВО НОВОГО ЧАСУ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C1828">
        <w:rPr>
          <w:rFonts w:ascii="Times New Roman" w:hAnsi="Times New Roman" w:cs="Times New Roman"/>
          <w:sz w:val="28"/>
          <w:szCs w:val="28"/>
          <w:lang w:val="uk-UA"/>
        </w:rPr>
        <w:t>АРХІТЕКТУРА</w:t>
      </w:r>
    </w:p>
    <w:p w:rsidR="00CC1828" w:rsidRPr="00CC1828" w:rsidRDefault="00CC1828" w:rsidP="00CC1828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63D17" w:rsidRPr="00363D17" w:rsidRDefault="00363D17" w:rsidP="00363D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Точне походження терміна бароко невідоме. Його починають вживати у XVIII столітті з дещо зневажливою інтонацією (переклад з італійської — «неправильний» або «химерний»). Цей стиль прямо перекликався із способом життя королівських дворів, особливо французького, що диктувало європейську моду: поєднання нескінченних свят, постійних розваг і суворого етикету, жорсткої регламентації. У той же час зі світовідчуття зникає стабільність, міцність, властива минулим епохам. </w:t>
      </w: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  <w:r w:rsidRPr="00363D17">
        <w:rPr>
          <w:rFonts w:asciiTheme="majorHAnsi" w:hAnsiTheme="majorHAnsi"/>
          <w:noProof/>
          <w:sz w:val="28"/>
          <w:szCs w:val="28"/>
          <w:lang w:val="uk-UA"/>
        </w:rPr>
        <w:drawing>
          <wp:inline distT="0" distB="0" distL="0" distR="0" wp14:anchorId="0BC526F2" wp14:editId="2573DBB8">
            <wp:extent cx="3357563" cy="4037013"/>
            <wp:effectExtent l="171450" t="133350" r="357187" b="306387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3" cy="4037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D17" w:rsidRPr="00363D17" w:rsidRDefault="00363D17" w:rsidP="00363D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3D17">
        <w:rPr>
          <w:rFonts w:ascii="Times New Roman" w:hAnsi="Times New Roman" w:cs="Times New Roman"/>
          <w:sz w:val="28"/>
          <w:szCs w:val="28"/>
          <w:lang w:val="uk-UA"/>
        </w:rPr>
        <w:t xml:space="preserve">Арх. Карло </w:t>
      </w:r>
      <w:proofErr w:type="spellStart"/>
      <w:r w:rsidRPr="00363D17">
        <w:rPr>
          <w:rFonts w:ascii="Times New Roman" w:hAnsi="Times New Roman" w:cs="Times New Roman"/>
          <w:sz w:val="28"/>
          <w:szCs w:val="28"/>
          <w:lang w:val="uk-UA"/>
        </w:rPr>
        <w:t>Мадерно</w:t>
      </w:r>
      <w:proofErr w:type="spellEnd"/>
      <w:r w:rsidRPr="00363D1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63D17">
        <w:rPr>
          <w:rFonts w:ascii="Times New Roman" w:hAnsi="Times New Roman" w:cs="Times New Roman"/>
          <w:sz w:val="28"/>
          <w:szCs w:val="28"/>
          <w:lang w:val="uk-UA"/>
        </w:rPr>
        <w:t>Санта</w:t>
      </w:r>
      <w:proofErr w:type="spellEnd"/>
      <w:r w:rsidRPr="00363D17">
        <w:rPr>
          <w:rFonts w:ascii="Times New Roman" w:hAnsi="Times New Roman" w:cs="Times New Roman"/>
          <w:sz w:val="28"/>
          <w:szCs w:val="28"/>
          <w:lang w:val="uk-UA"/>
        </w:rPr>
        <w:t xml:space="preserve"> Сусанна, один з перших зразків римського бароко, 1603 рік.</w:t>
      </w: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  <w:r w:rsidRPr="00363D17">
        <w:rPr>
          <w:rFonts w:asciiTheme="majorHAnsi" w:hAnsiTheme="majorHAnsi"/>
          <w:noProof/>
          <w:sz w:val="28"/>
          <w:szCs w:val="28"/>
          <w:lang w:val="uk-UA"/>
        </w:rPr>
        <w:lastRenderedPageBreak/>
        <w:drawing>
          <wp:inline distT="0" distB="0" distL="0" distR="0" wp14:anchorId="68C0F875" wp14:editId="4E089FCE">
            <wp:extent cx="5133975" cy="4391025"/>
            <wp:effectExtent l="19050" t="0" r="9525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6"/>
                    <pic:cNvPicPr>
                      <a:picLocks noGrp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99" cy="439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  <w:r w:rsidRPr="00363D17">
        <w:rPr>
          <w:rFonts w:asciiTheme="majorHAnsi" w:hAnsiTheme="majorHAnsi"/>
          <w:noProof/>
          <w:sz w:val="28"/>
          <w:szCs w:val="28"/>
          <w:lang w:val="uk-UA"/>
        </w:rPr>
        <w:drawing>
          <wp:inline distT="0" distB="0" distL="0" distR="0" wp14:anchorId="3BE792FA" wp14:editId="3DFE654D">
            <wp:extent cx="2619375" cy="3489325"/>
            <wp:effectExtent l="19050" t="0" r="952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Объект 11"/>
                    <pic:cNvPicPr>
                      <a:picLocks noGrp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17" w:rsidRPr="00363D17" w:rsidRDefault="00363D17" w:rsidP="00363D1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Типовим зразком барокового стилю є оформлення собору </w:t>
      </w:r>
      <w:proofErr w:type="spellStart"/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t>св.Петра</w:t>
      </w:r>
      <w:proofErr w:type="spellEnd"/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Римі.</w:t>
      </w:r>
    </w:p>
    <w:p w:rsidR="00363D17" w:rsidRPr="00363D17" w:rsidRDefault="00363D17" w:rsidP="00363D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Внутрішньо складним стилем був класицизм. Центральна ідея класицизму — в руслі раціоналістичної філософії — ідея розумності, </w:t>
      </w:r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впорядкованості, «правильності». З одного боку, ця ідея широко використовувалася для обґрунтування необхідності абсолютизму: держава на чолі з монархом трактувалася як втілення розуму, який обмежує людські вади. Але, з іншого боку, той самий раціоналізм був філософською основою розвитку передової науки, фундаментом буржуазної ідеології. У XVII столітті провідною була перша тенденція. </w:t>
      </w: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  <w:r w:rsidRPr="00363D17">
        <w:rPr>
          <w:rFonts w:asciiTheme="majorHAnsi" w:hAnsiTheme="majorHAnsi"/>
          <w:noProof/>
          <w:sz w:val="28"/>
          <w:szCs w:val="28"/>
          <w:lang w:val="uk-UA"/>
        </w:rPr>
        <w:drawing>
          <wp:inline distT="0" distB="0" distL="0" distR="0" wp14:anchorId="638104B3" wp14:editId="679E3D0A">
            <wp:extent cx="4514850" cy="5743575"/>
            <wp:effectExtent l="1905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  <w:r w:rsidRPr="00363D17">
        <w:rPr>
          <w:rFonts w:asciiTheme="majorHAnsi" w:hAnsiTheme="majorHAnsi"/>
          <w:sz w:val="28"/>
          <w:szCs w:val="28"/>
          <w:lang w:val="uk-UA"/>
        </w:rPr>
        <w:t>Каплиця Версальського палацу</w:t>
      </w: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  <w:r w:rsidRPr="00363D17">
        <w:rPr>
          <w:rFonts w:asciiTheme="majorHAnsi" w:hAnsiTheme="majorHAnsi"/>
          <w:noProof/>
          <w:sz w:val="28"/>
          <w:szCs w:val="28"/>
          <w:lang w:val="uk-UA"/>
        </w:rPr>
        <w:lastRenderedPageBreak/>
        <w:drawing>
          <wp:inline distT="0" distB="0" distL="0" distR="0" wp14:anchorId="3C9885B2" wp14:editId="424DC811">
            <wp:extent cx="5162550" cy="3562350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80" cy="35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</w:p>
    <w:p w:rsidR="00363D17" w:rsidRPr="00363D17" w:rsidRDefault="00363D17" w:rsidP="00363D17">
      <w:pPr>
        <w:spacing w:after="0"/>
        <w:ind w:firstLine="709"/>
        <w:jc w:val="both"/>
        <w:rPr>
          <w:rFonts w:asciiTheme="majorHAnsi" w:hAnsiTheme="majorHAnsi"/>
          <w:sz w:val="28"/>
          <w:szCs w:val="28"/>
          <w:lang w:val="uk-UA"/>
        </w:rPr>
      </w:pPr>
      <w:r w:rsidRPr="00363D17">
        <w:rPr>
          <w:rFonts w:asciiTheme="majorHAnsi" w:hAnsiTheme="majorHAnsi"/>
          <w:noProof/>
          <w:sz w:val="28"/>
          <w:szCs w:val="28"/>
          <w:lang w:val="uk-UA"/>
        </w:rPr>
        <w:drawing>
          <wp:inline distT="0" distB="0" distL="0" distR="0" wp14:anchorId="3D011C2D" wp14:editId="6EA2C8AE">
            <wp:extent cx="5162550" cy="3667125"/>
            <wp:effectExtent l="19050" t="0" r="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79" cy="367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17" w:rsidRPr="00363D17" w:rsidRDefault="00363D17" w:rsidP="00363D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Переломним моментом в історії людства вважається XVIII ст., коли розгорнувся інтелектуальний соціально-політичний рух, який назвали Просвітництвом. Термін «Просвітництво» використовують Вольтер, </w:t>
      </w:r>
      <w:proofErr w:type="spellStart"/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t>Гердер</w:t>
      </w:r>
      <w:proofErr w:type="spellEnd"/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остаточно ж він закріплюється після статті І. Канта «Що таке Просвітництво?» (1874). </w:t>
      </w:r>
    </w:p>
    <w:p w:rsidR="00363D17" w:rsidRPr="00363D17" w:rsidRDefault="00363D17" w:rsidP="00363D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3D17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Просвітництво </w:t>
      </w:r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явище досить складне і багатогранне. У широкому значенні під цим терміном розуміють просвіту широких верств населення, </w:t>
      </w:r>
      <w:r w:rsidRPr="00363D17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прилучення їх до культури, наук, мистецтва. У вужчому, історико-культурному значенні, цей термін використовується для означення ідейного руху, що розгорнувся у країнах Європи під гаслом подолання закоснілих форм соціально-політичного, соціально-економічного і соціокультурного життя в ім´я ідеї всебічного соціального прогресу. У XVII ст. на всій культурі Європи позначився просвітницький вплив, який виявився у прищепленні європейській культурі ідеології постійного соціального прогресу. </w:t>
      </w:r>
    </w:p>
    <w:p w:rsidR="00363D17" w:rsidRPr="00363D17" w:rsidRDefault="00363D17" w:rsidP="00363D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1AFD" w:rsidRPr="00363D17" w:rsidRDefault="00FF1AFD" w:rsidP="00363D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F1AFD" w:rsidRPr="00363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B8B"/>
    <w:rsid w:val="002B5B8B"/>
    <w:rsid w:val="00363D17"/>
    <w:rsid w:val="00431DE4"/>
    <w:rsid w:val="00BF27CE"/>
    <w:rsid w:val="00CC1828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D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D1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D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D1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</dc:creator>
  <cp:keywords/>
  <dc:description/>
  <cp:lastModifiedBy>AdmiNN</cp:lastModifiedBy>
  <cp:revision>5</cp:revision>
  <dcterms:created xsi:type="dcterms:W3CDTF">2022-04-28T18:06:00Z</dcterms:created>
  <dcterms:modified xsi:type="dcterms:W3CDTF">2022-04-28T18:17:00Z</dcterms:modified>
</cp:coreProperties>
</file>