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6D23" w14:textId="489A8311" w:rsidR="005B34BB" w:rsidRPr="005B34BB" w:rsidRDefault="005B34BB" w:rsidP="005B34BB">
      <w:pPr>
        <w:pStyle w:val="a5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ЛЕКЦІЯ 2. ПРИНЦИПИ ТА ДЖЕРЕЛА АДМІНІСТРАТИВНОГО ПРАВА</w:t>
      </w:r>
    </w:p>
    <w:p w14:paraId="3DFEACF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</w:p>
    <w:p w14:paraId="6E3F0E25" w14:textId="77777777" w:rsidR="005B34BB" w:rsidRPr="005B34BB" w:rsidRDefault="005B34BB" w:rsidP="005B34BB">
      <w:pPr>
        <w:pStyle w:val="a5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План</w:t>
      </w:r>
    </w:p>
    <w:p w14:paraId="040E900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1.Поняття та значення принципів адміністративного права.</w:t>
      </w:r>
    </w:p>
    <w:p w14:paraId="3DB8870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           1.1.Принцип верховенства права;</w:t>
      </w:r>
    </w:p>
    <w:p w14:paraId="6B20141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           1.2.Принцип законності;</w:t>
      </w:r>
    </w:p>
    <w:p w14:paraId="48B0AC2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           1.3.Основні принципи належного врядування;</w:t>
      </w:r>
    </w:p>
    <w:p w14:paraId="3CC9F5C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2.Поняття та види джерел адміністративного права.</w:t>
      </w:r>
    </w:p>
    <w:p w14:paraId="2AE63B9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3.Національні джерела адміністративного права .</w:t>
      </w:r>
    </w:p>
    <w:p w14:paraId="5D89E6F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4.Міжнародні джерела адміністративного права.</w:t>
      </w:r>
    </w:p>
    <w:p w14:paraId="0E6DEE3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5.Рішення судових органів у системі джерел адміністративного права.</w:t>
      </w:r>
    </w:p>
    <w:p w14:paraId="2A588A13" w14:textId="0C9D13ED" w:rsid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 xml:space="preserve">6.Неформалізовані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квазіджерела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 xml:space="preserve"> адміністративного права.</w:t>
      </w:r>
    </w:p>
    <w:p w14:paraId="011227CB" w14:textId="308D4F2B" w:rsid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val="uk-UA" w:eastAsia="ru-RU"/>
        </w:rPr>
      </w:pPr>
    </w:p>
    <w:p w14:paraId="3822F5D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</w:p>
    <w:p w14:paraId="21B5C96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1.Поняття та значення принципів адміністративного права.</w:t>
      </w:r>
    </w:p>
    <w:p w14:paraId="55FD423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провідною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категорією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континентальних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 принципах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розкривається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поглиблено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у них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виявляється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закономірності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тенденції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потреби.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принципами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розуміють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стабільні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сприяють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утвердженню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права і напрямки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FE2669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Характерними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рисами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права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B8584B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нормального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C40672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стабільні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сприяють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утвердженню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і напрямки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DC2D9E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установлюють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керівні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засади-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настанови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правила,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права;</w:t>
      </w:r>
    </w:p>
    <w:p w14:paraId="772E415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характеризуються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прогресивністю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засвідчують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умов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сучасності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основоположні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засади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реально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досяжними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48E93C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стабільні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зумовлені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засади,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базується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свобод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нормального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CC92BF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3CA86C5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1.1.Принцип верховенства права</w:t>
      </w:r>
    </w:p>
    <w:p w14:paraId="244FFAC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верховенства права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є одним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основоположних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правопорядку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Української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закріплений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8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</w:p>
    <w:p w14:paraId="2B54633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 сферах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нормотворчої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правоохоронної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F6FBE7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основоположний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устрою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став правовою нормою. Кодекс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керується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принципом верховенства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цінностями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суд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урахуванням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EA30D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стали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ратифікації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1997 року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 2006 року.</w:t>
      </w:r>
    </w:p>
    <w:p w14:paraId="1F5FC97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Верховенство права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складові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38C0F0F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своєрідним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запобіжником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свавілля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CE9DF1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перед законом;</w:t>
      </w:r>
    </w:p>
    <w:p w14:paraId="131F821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наслідком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гарантій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Навпаки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офіційних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наслідком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 особи.</w:t>
      </w:r>
    </w:p>
    <w:p w14:paraId="3ACF84C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Лише доктрина природного права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розуміння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основоположні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громадянам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створених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нею норм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природні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властиві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природи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належать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творінню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Природи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не як члену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і тому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невідчужуваними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626866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прикладом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права як принципу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частина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друга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восьмої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де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закріплено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ієрархії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складник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верховенства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скерований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узгодженого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всієї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узгоджуються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собою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суперечать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одна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ієрархії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наділена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силою,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стоїть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над законами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актами,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договорами.</w:t>
      </w:r>
    </w:p>
    <w:p w14:paraId="4EFE5C9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Особливостями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принципу верховенства права є те,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F337B9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Людина,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ж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держава і закон,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вторинними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518AB5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право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тотожні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неправовим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карним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E72FD6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природного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беззаперечному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караним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C6F4FF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верховенства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55BE63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верховенства права в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в тому,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права і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та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19B8F0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узгоджений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усієї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співіснування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суперечливих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покладається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7CB624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Особливу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роль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відведено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Принцип верховенства права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первинним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системотвірним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обмежують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винесене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недійсним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08609F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Зміст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принципу верховенства права в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адміністративному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судочинстві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включає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елементи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13A4B0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звернутися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45E6CF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публічно-правової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відсутності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спірні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неповноти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неясності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суперечливості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5873CD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036AAC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сукупності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елементи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створюють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підґрунтя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загальнолюдських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публічно-правових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C433D1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перевіряти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законам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A8B3AD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Повага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двома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умовами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верховенства права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інституційних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особливо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відзначити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роль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Запровадження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одним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значущих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кроків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 шляху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утвердження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права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нашій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позитивний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внесок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утвердження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права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Кодексі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виписано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структурні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одиниці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верховенства права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8, 9, 10, 11, 12, 13, 16, 235, 237).</w:t>
      </w:r>
    </w:p>
    <w:p w14:paraId="3A5C959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Механізмом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дієвості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права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українській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нормами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прямої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 суду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гарантується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CE3424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випливає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прямої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57387A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 суду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норм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прямої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гарантовано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 і свобод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і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, а не для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C26BE1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3556942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1.2.Принцип законності</w:t>
      </w:r>
    </w:p>
    <w:p w14:paraId="557F61C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похідним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верховенства права і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правового закону - фундаментальна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складова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підґрунтя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2D8056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означає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0454645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суворо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дотримуватися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другої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формули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«заборонено все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прямо дозволено законом»,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відбито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ст. 6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межах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 та ст. 19: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"https://vo.uu.edu.ua/mod/glossary/showentry.php?eid=26949&amp;displayformat=dictionary" \o "Глосарій Адміністративне право: Органи місцевого самоврядування" </w:instrTex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органи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місцевого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самоврядування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посадові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зобов’язані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межах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законами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»;</w:t>
      </w:r>
    </w:p>
    <w:p w14:paraId="349B07B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2)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невладними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фізичними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статусу,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першої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формули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дозволене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все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прямо заборонено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закріплено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ст. 23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Кожна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вільний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особистості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людей,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перед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вільний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всебічний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особистості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»;</w:t>
      </w:r>
    </w:p>
    <w:p w14:paraId="3A84FA9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3)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суворе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і правил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техніки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A8D276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        4) використання органами виконавчої влади та місцевого самоврядування всіх дозволених законодавством засобів щодо забезпечення попередження та припинення протиправних посягань на права, свободи та законні публічні інтереси фізичних і юридичних осіб, невідворотності притягнення винних у скоєнні правопорушення до юридичної відповідальності та відновлення порушених прав і свобод.</w:t>
      </w:r>
    </w:p>
    <w:p w14:paraId="342E548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Здійснюючи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порівняльний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аналіз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«верховенства права» і «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законності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»,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можна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дійти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таких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висновків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706D369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приватні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права),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користуватись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принципом верховенства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виходити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дозволів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формально чинного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Головне,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порушувались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заборонні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права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8D3917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чітко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словами,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суворо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дотримуватися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 без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виходу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формально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встановленої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винятком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невідкладного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77FBFE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5AF27DB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1.3.Основні принципи належного врядування</w:t>
      </w:r>
    </w:p>
    <w:p w14:paraId="23CE1CD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вісім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характеристик. Ними є участь,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орієнтація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консенсус,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підзвітність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прозорість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реагування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результативність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врахування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верховенства права.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Воно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засвідчує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корупція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мінімізованою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погляди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меншості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враховано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голоси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незахищених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верств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почуто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Воно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майбутніх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потреб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536316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країнах-учасницях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погодженою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позиція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стандарти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стимулюють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формальна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легалізація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прецедентів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B117A6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Отже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полягає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тому,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встановлюють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стандарти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стимулюють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службовців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інтересу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6891C0A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Сутнісною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відмінністю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учасницях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те,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- не просто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засновані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чиїсь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добрій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реально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дієво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захищаються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незалежними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контролю, системою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юстиції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судовою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парламентським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контролем.</w:t>
      </w:r>
    </w:p>
    <w:p w14:paraId="3A98644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сутністю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-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учасницях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ЄС є те,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реально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дієво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захищені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громадським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контролем,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контролем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юстиції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судовою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парламентським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контролем.</w:t>
      </w:r>
    </w:p>
    <w:p w14:paraId="034B54E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Економічного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Співтовариства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визначив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багато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давши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посилання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характерні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держав-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ЄС.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практиці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вагомі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державами- членами ЄС,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: 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через закон;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пропорційності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очікувань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недопущення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дискримінації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право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слухання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забезпечувальні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заходи;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справедливі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позадоговірна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C03FCD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вагому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роль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відграють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висвітлені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Білій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Книзі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п’ять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відкритості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підзвітності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злагодженості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демократичного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підтримують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демократію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принцип верховенства права в державах-членах ЄС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світовому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регіональному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0F9F593D" w14:textId="5F4D2048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6F2F3CB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Основними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групами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є:</w:t>
      </w:r>
    </w:p>
    <w:p w14:paraId="023A3F1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реагування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F92DE6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відкритості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прозорості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06BAE4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доброчесності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етичної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E08B60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компетентності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спроможності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F3AF54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інноваційності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відкритості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3E1092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сталості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довгострокової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орієнтованості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B29CF6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поваги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культурної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різноманітності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E0663E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принцип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соціальної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згуртованості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підзвітності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338BA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Для характеристики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наведених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вище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груп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використовуватися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282683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3FE566F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2.Поняття та види джерел адміністративного права.</w:t>
      </w:r>
    </w:p>
    <w:p w14:paraId="5EACE3A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Термін «джерело права» існує вже не одне тисячоліття, і науці відоме подвійне розуміння цієї категорії - у матеріальному сенсі й у формально юридичному. Нас цікавить поняття «джерело права» саме у формальному юридичному значенні - найбільш зрозумілому й уживаному, під яким розуміється зовнішня форма вираження правових норм.</w:t>
      </w:r>
    </w:p>
    <w:p w14:paraId="29A6858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Адміністративне право як галузь права складається зі значної кількості правових норм, різноманітних за своїм змістом, цільовим призначенням і способом правового впливу на регульовані суспільні відносини.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звернути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увагу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зовнішню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форму норм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745CD87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 -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засіб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зовнішнього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оформлення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засвідчує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державну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загальнообов’язковість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форми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вираження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закріплення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волі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цим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самим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врегульовуючи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адміністративно-правові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відносини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28EA34D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відносять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BF8DDB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55E7A4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договори;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48552C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-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неформалізовані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природного права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звичаї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традиції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моралі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9C662F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прецеденти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Верховного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AD00F3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точного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функціонального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кожного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поділ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AE4E7F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розташовані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принципом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ієрархічної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підпорядкованості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утворюють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цілісну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систему.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вертикальна структура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будується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таким чином,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одних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вищих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Чітка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підпорядкованість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закріплена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соціально-політичне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вираженої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народу.</w:t>
      </w:r>
    </w:p>
    <w:p w14:paraId="1AA36B3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континентальних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видом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є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нормативно-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укази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постанови,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A54BBD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Виокремлюють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сучасні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тенденції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гармонізація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правом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Союзу та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залишковий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вплив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радянських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підходів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соціально-економічних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перетворень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налагодження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субординаційних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координаційних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зв’язків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видами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посилення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похідних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темпи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кодифікації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розширення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відсутність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єдиної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сучасної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концепції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реформи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прогалини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урегулюванні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співвідношення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різноманітних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6FB76DB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6AF9D9C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3.Національні джерела адміністративного права</w:t>
      </w:r>
    </w:p>
    <w:p w14:paraId="0E258E4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кримінального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об’єднати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в одному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навіть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декількох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комплексних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кодифікованих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кодексах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законах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можливо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об’єктивних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причин.</w:t>
      </w:r>
    </w:p>
    <w:p w14:paraId="51CFF68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широке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коло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містяться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численних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нормотворчість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управлінській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високим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рівнем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динамічності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частим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виникненням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ускладнює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структуру правового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матеріалу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постійно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доповнюються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уточняються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матеріал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систематизації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232B1B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фіксуються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десятках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засади державного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нагляду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(контролю)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»,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декількох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кодексах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КУпАП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КАСУ,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Митному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Податковому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Земельному,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Лісовому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Водному)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тисячах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DD8137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вихідну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роль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відіграє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Української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громадянам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система,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Конституційно-правові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закріплюють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об’єднаннях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громадськими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способи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зміцнення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правопорядку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5709F1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приписи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містяться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поділити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чотири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приватного права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порядок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засади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адміністративно-територіальний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устрій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0C9418C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роль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першоджерела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зводиться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прямого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багато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конкретизується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актах.</w:t>
      </w:r>
    </w:p>
    <w:p w14:paraId="2887B24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пряму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основою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побудови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уточнення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форм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державного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CF572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0" w:name="bookmark75"/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bookmarkEnd w:id="0"/>
    </w:p>
    <w:p w14:paraId="454EB18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видом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є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нормативно-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 (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акт)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-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письмовий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документ компетентного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повноважень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містить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формально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обов’язкове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правило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поведінки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характеру.</w:t>
      </w:r>
    </w:p>
    <w:p w14:paraId="76FD83B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певній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суворо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нормативно-правового акта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 органу,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 До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розпорядчої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6B4325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Вищими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силою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9FB380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відрізняти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індивідуального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завершальним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етапом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5A2107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акт -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вміщує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конкретний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припис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прийнятий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компетентним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публічним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органом у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результаті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індивідуальної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255F1CB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силою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треба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 і «нормативно-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розуміються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тотожні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DD971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77"/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bookmarkEnd w:id="1"/>
    </w:p>
    <w:p w14:paraId="6BFAE5F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значущістю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частину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354F19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Верховною Радою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виражає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волю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народу,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силу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загальнообов’язковим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охороняється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CC45AC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вищу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юридичну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силу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53DAB3D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ніхто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скасовувати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83155F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багаторазово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повторюються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7BC5E1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072856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колізій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нормами Закону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нормативно-правового акта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Закону;</w:t>
      </w:r>
    </w:p>
    <w:p w14:paraId="047398B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підтвердити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повернення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відкладного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вето.</w:t>
      </w:r>
    </w:p>
    <w:p w14:paraId="61B7042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класифікуються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526BA7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1.    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ієрархічним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статусом:</w:t>
      </w:r>
    </w:p>
    <w:p w14:paraId="79CD05F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Закон)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основу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96B4D5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конкретизують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найважливіші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випливають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(напр., Закон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Кабінет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»);</w:t>
      </w:r>
    </w:p>
    <w:p w14:paraId="3482F6D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звичайні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(напр., Закон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09.04.1999 р. №586-ХІУ «Про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"https://vo.uu.edu.ua/mod/glossary/showentry.php?eid=26946&amp;displayformat=dictionary" \o "Глосарій Адміністративне право: Місцеві державні адміністрації" </w:instrTex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місцеві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державні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»);</w:t>
      </w:r>
    </w:p>
    <w:p w14:paraId="1F43A59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ухвалюються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законами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надзвичайних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ситуаціях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13365E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2.    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спрямованістю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на: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матеріальні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(напр., Закон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21.05.1997 р. № 280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») та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процесуальні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(КАСУ).</w:t>
      </w:r>
    </w:p>
    <w:p w14:paraId="2BD8E13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особливістю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галузі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є те,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багатьох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законах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поєднуються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матеріальні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процесуальні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слушний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приклад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КУпАП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3A4447A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2" w:name="bookmark79"/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bookmarkEnd w:id="2"/>
    </w:p>
    <w:p w14:paraId="687DCD1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 закону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існують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підходи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32A1D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першим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підходом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учені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вважають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зосередити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зусилля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персоніфікованого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Незважаючи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теоретичну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правильність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зазначеного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досягти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стану речей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вдавалось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жодній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світу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Потреба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своєчасного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прогалин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 законах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спонукає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розпорядчої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A7843F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Тим самим,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другого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підходу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вчені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вважають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Але й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погоджуються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стабільній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демократичній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постійно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зменшуватись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вітчизняне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досягло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такого стану,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численних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2D4732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Поділ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підзаконних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здійснюється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за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відповідними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критеріями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3B51CAB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BDB003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постанови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BA3EBC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укази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A98710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голів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районних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нормативного характеру;</w:t>
      </w:r>
    </w:p>
    <w:p w14:paraId="5534130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9CB8B7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комітетів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депутатів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0B2922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інструкції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керівників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міністерств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D9E8D6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керівників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управлінь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відділів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комітетів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депутатів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нормативного характеру;</w:t>
      </w:r>
    </w:p>
    <w:p w14:paraId="46A4A0E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інструкції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підприємств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ними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делегованих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4BEC0E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юридичною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силою:</w:t>
      </w:r>
    </w:p>
    <w:p w14:paraId="14FBFE3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(напр., Постанова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28.02.2018 р. № 151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Технічного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регламенту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безпечності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іграшок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»);</w:t>
      </w:r>
    </w:p>
    <w:p w14:paraId="2255689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відомчі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(напр., Наказ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фінансів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29.09.2011 №1217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етики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підрозділу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внутрішнього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аудиту»);</w:t>
      </w:r>
    </w:p>
    <w:p w14:paraId="4199469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Київської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15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березня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2002 р. №313/1747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землю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особами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м.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Києві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»);</w:t>
      </w:r>
    </w:p>
    <w:p w14:paraId="3034CB8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локальні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(напр., Наказ державного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інформаційні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30.12.2016 р. № 543,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затверджено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прийому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підприємстві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7470728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підзаконні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вторинні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розпорядчої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 закону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з метою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своєчасного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F2B736B" w14:textId="1A2C13AC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40F7D77E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4.Міжнародні джерела адміністративного права</w:t>
      </w:r>
    </w:p>
    <w:p w14:paraId="7F12CDE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bookmark83"/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договори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bookmarkEnd w:id="3"/>
    </w:p>
    <w:p w14:paraId="0F72A5B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ст. 3 Закону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29 червня 2004 р.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укладаються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дорученням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імені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Кабінетом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дорученням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імені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уряду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міністерствами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центральними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імені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міністерств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C4BFBF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чимало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договорів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наприклад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:</w:t>
      </w:r>
    </w:p>
    <w:p w14:paraId="4A0E7CE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основоположних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свобод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4 листопада 1950 р.;</w:t>
      </w:r>
    </w:p>
    <w:p w14:paraId="28D9ECD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правопорушників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13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грудня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1957 р.;</w:t>
      </w:r>
    </w:p>
    <w:p w14:paraId="4B603F9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Рамкова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Об’єднаних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клімату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9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травня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1992 р.</w:t>
      </w:r>
    </w:p>
    <w:p w14:paraId="46752A6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4" w:name="bookmark85"/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Союзу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контексті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правотворчої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bookmarkEnd w:id="4"/>
      <w:proofErr w:type="spellEnd"/>
    </w:p>
    <w:p w14:paraId="17E8660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Угоди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асоціацію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однієї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Союзом,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співтовариством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атомної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енергії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їхніми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державами-членами,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(Угоду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ратифіковано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№ 1678-VII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16.09.2014 р.) і Закону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18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березня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2004 р.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Загальнодержавну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програму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адаптації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Союзу»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них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взяла на себе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привести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власні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ЄС.</w:t>
      </w:r>
    </w:p>
    <w:p w14:paraId="499E94E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Правотворча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правозастосовна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яку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 сферах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предмет правового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ґрунтується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вимогах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ЄС. Право ЄС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первинне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ієрархічно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вище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вторинне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похідне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3C40A0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bookmark87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 </w:t>
      </w:r>
      <w:bookmarkEnd w:id="5"/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первинних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ЄС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належать:</w:t>
      </w:r>
    </w:p>
    <w:p w14:paraId="72C1CF1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установчі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договори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10336F3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інститути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співтовариств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(1957);</w:t>
      </w:r>
    </w:p>
    <w:p w14:paraId="203D74C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 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прямі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вибори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Парламенту (1976);</w:t>
      </w:r>
    </w:p>
    <w:p w14:paraId="70B4F4A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 (1986);</w:t>
      </w:r>
    </w:p>
    <w:p w14:paraId="691B14D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Маастрихтська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угода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Союз (1992)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протоколами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деклараціями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EFA87E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Амстердамська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угода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Союз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протоколами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деклараціями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(1997);</w:t>
      </w:r>
    </w:p>
    <w:p w14:paraId="7C3C1A3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Ніццька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угода 2001 р.;</w:t>
      </w:r>
    </w:p>
    <w:p w14:paraId="28C7328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-                     угода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29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жовтня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2004 р.;</w:t>
      </w:r>
    </w:p>
    <w:p w14:paraId="7CEB6BC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державами-членами.</w:t>
      </w:r>
    </w:p>
    <w:p w14:paraId="6E932E6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До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вторинних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належать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інституцій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ЄС:</w:t>
      </w:r>
    </w:p>
    <w:p w14:paraId="1F67EF6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регламенти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-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характеру. Вони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елементах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ЄС і є актами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прямої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країн-учасниць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підлягають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держав-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виступала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держава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регламенти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підлягають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публікації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офіційному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ЄС - </w:t>
      </w:r>
      <w:r w:rsidRPr="005B34BB">
        <w:rPr>
          <w:rFonts w:ascii="Times New Roman" w:hAnsi="Times New Roman" w:cs="Times New Roman"/>
          <w:color w:val="000000" w:themeColor="text1"/>
          <w:lang w:val="en-US" w:eastAsia="ru-RU"/>
        </w:rPr>
        <w:t>Journal official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-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набирають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самому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на 20-й день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опублікування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156F42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Наприклад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Регламент (ЄС) №853/2004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Парламенту </w:t>
      </w:r>
      <w:proofErr w:type="gram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 Ради</w:t>
      </w:r>
      <w:proofErr w:type="gram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29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квітня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2004 р.,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встановлює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гігієнічні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правила для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харчових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продуктів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тваринного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походження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Регламент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Комісії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Євроатом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№944/89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12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квітня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1989 р.,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яким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установлюються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максимально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припустимі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рівні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радіоактивного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зараження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другорядних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продуктів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харчування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після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ядерної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аварії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будь-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випадку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радіологічного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стану;</w:t>
      </w:r>
    </w:p>
    <w:p w14:paraId="2FE0E0B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директиви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, -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головна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відмінність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регламенту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директиві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зазвичай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вказуються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мета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результати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досягнуто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самій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мета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досягнута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11AC6F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Наприклад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B4EF74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       </w:t>
      </w:r>
      <w:proofErr w:type="gram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Директива</w:t>
      </w:r>
      <w:proofErr w:type="gram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Ради 92/50/ЄЕС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18 червня 1992 р.,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координує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розміщення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замовлень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7F72001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       </w:t>
      </w:r>
      <w:proofErr w:type="gram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Директива</w:t>
      </w:r>
      <w:proofErr w:type="gram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Ради 93/36/ЄЕС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14 червня 1993 р.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координування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укладання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контрактів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постачання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товарів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537A584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                   </w:t>
      </w:r>
      <w:proofErr w:type="gram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Директива</w:t>
      </w:r>
      <w:proofErr w:type="gram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Ради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21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грудня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1989 р. про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координацію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підзаконних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              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процедур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перевірки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контрактів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поставки та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робіт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(89/665/ЄЕС);</w:t>
      </w:r>
    </w:p>
    <w:p w14:paraId="1798B70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  </w:t>
      </w:r>
      <w:proofErr w:type="spellStart"/>
      <w:proofErr w:type="gram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proofErr w:type="gram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ЄК (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Європейської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Комісії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),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відмітна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риса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індивідуального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характеру.</w:t>
      </w:r>
    </w:p>
    <w:p w14:paraId="58B1E28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Будучи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адресатів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здебільшого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вузьких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часто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технічних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тих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адресовані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До того ж адресатом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бути держава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навіть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особи.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правилом,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нотифікуються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повідомляються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постають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виконавці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розпоряджень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B4C393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Такими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актами є:</w:t>
      </w:r>
    </w:p>
    <w:p w14:paraId="763C13E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Комісії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22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грудня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1972 р.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вирівнювання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для продажу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вугілля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спільному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ринку (ОВ </w:t>
      </w:r>
      <w:r w:rsidRPr="005B34BB">
        <w:rPr>
          <w:rFonts w:ascii="Times New Roman" w:hAnsi="Times New Roman" w:cs="Times New Roman"/>
          <w:color w:val="000000" w:themeColor="text1"/>
          <w:lang w:val="en-US" w:eastAsia="ru-RU"/>
        </w:rPr>
        <w:t>L 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297, 30/12/1972, С. 0045-0047);</w:t>
      </w:r>
    </w:p>
    <w:p w14:paraId="79D54B3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-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Комісії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26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травня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1987 р.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Дорадчого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комітету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контрактів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робіт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(71/306/ЄЕС) (ОВ L 185, 16.8.1971, С. 15).</w:t>
      </w:r>
    </w:p>
    <w:p w14:paraId="06B3F21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>Окрім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того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багато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схвалюваних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інституціями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Співтовариства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меморандуми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повідомлення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обговорення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програми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керівні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вказівки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недоговірні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описують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різноманітні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заходи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відбуваються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Співтоваристві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силу,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незважаючи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свою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назву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критеріям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передбаченим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договором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тому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будуть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405A7C1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5.Рішення судових органів у системі джерел адміністративного права.</w:t>
      </w:r>
    </w:p>
    <w:p w14:paraId="6A56AF1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Суди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прогалини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суперечливість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ускладнюють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потреба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розроблення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спрямованих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виправлення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недоліків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виявляються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актах.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Подібні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судами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аналогічних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справ.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вони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фіксуються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необхідні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останньої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роз’яснення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рекомендації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1A878BB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власних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уявлень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мету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уповноважена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створювати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обмежені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рамками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конкретизувати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доповнити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  <w:bookmarkStart w:id="6" w:name="bookmark93"/>
      <w:bookmarkEnd w:id="6"/>
    </w:p>
    <w:p w14:paraId="5D0822E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Практика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суду з прав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джерело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права</w:t>
      </w:r>
    </w:p>
    <w:p w14:paraId="1C2FEAE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ст. 17 Закону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23 лютого 2006 р.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розгляді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Конвенцію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практику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7554A5B1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Наведена норма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мірою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для суду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), так і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названих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стикається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потребою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орієнтуватися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практику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Інакше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кажучи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названі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керуватися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нарівні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актами. У тому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неправовим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останній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як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змінювати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національного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взагалі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B65737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7" w:name="bookmark95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                    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bookmarkEnd w:id="7"/>
    </w:p>
    <w:p w14:paraId="0E0B289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Результат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тлумачаться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неконституційними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скасовуються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D2127E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ст. 7 Закону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13 липня 2017 р. «Про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»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належать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5C05D80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73EA84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офіційне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9CB0DD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щонайменше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сорока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п’яти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депутатів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чинних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договорів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тих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договорів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вносяться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обов’язковість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DF3E6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щонайменше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сорока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п’яти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народних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депутатів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пропонуються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винесення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всеукраїнський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референдум за народною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86A104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додержання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розслідування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поста в порядку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імпічменту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межах,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статтями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111 і 151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7FFF86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законопроєкту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внесення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вимогам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статей 157 і 158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1E90AC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Верховною Радою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44FC7E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законам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другою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137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3B44DDF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скаргою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вважає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застосований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остаточному судовому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суперечить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71C27E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bookmarkStart w:id="8" w:name="bookmark97"/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Верховного Суду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bookmarkEnd w:id="8"/>
    </w:p>
    <w:p w14:paraId="6E336BC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найвищим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судом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судоустрою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сталість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єдність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gram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 порядку</w:t>
      </w:r>
      <w:proofErr w:type="gram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процесуальним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законом.</w:t>
      </w:r>
    </w:p>
    <w:p w14:paraId="45B9DD1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Верховний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Суд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662F57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суд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касаційної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інстанції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процесуальним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- як суд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першої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апеляційної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інстанції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у порядку,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процесуальним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законом;</w:t>
      </w:r>
    </w:p>
    <w:p w14:paraId="1D6F049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аналіз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статистики,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узагальнення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практики;</w:t>
      </w:r>
    </w:p>
    <w:p w14:paraId="470EBC3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судоустрою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статусу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функціонуванням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судоустрою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B58454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висновок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відсутність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діяннях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звинувачується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ознак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зради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злочину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; вносить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Верховної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письмове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неспроможність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Президентом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станом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4669BD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звертається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офіційного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F7497C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однакове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 права судами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спеціалізацій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порядку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процесуальним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законом;</w:t>
      </w:r>
    </w:p>
    <w:p w14:paraId="06EEF0D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апеляційні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місцеві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суди методичною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інформацією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799B87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законом.</w:t>
      </w:r>
    </w:p>
    <w:p w14:paraId="7F45FFE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вибору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спірних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суд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зобов’язаний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ураховувати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висновки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Верховного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викладені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результатами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заяв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перегляд судового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B76F884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організовувати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свою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Верховного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E28B166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5A2A80E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 xml:space="preserve">6.Неформалізовані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квазіджерела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 xml:space="preserve"> адміністративного права</w:t>
      </w:r>
    </w:p>
    <w:p w14:paraId="2B9FF882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Разом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форму документа,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формалізованими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виокремлюють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неформалізовані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квазіджерела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)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міститися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330D5DD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Так,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2 листопада 2004 р. №15-рп/2004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поданням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Верховного Суду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69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Кримінального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(справа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м’якого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наголошується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«верховенство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вимагає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втілення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правотворчу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правозастосовну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наповнені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ідеями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соціальної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Одним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проявів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верховенства права є те,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обмежується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однією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форм, 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включає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соціальні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регулятори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моралі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традиції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звичаї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легітимовані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зумовлені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історично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досягнутим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культурним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рівнем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елементи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об’єднуються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якістю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ідеології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права, яка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мірою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дістала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відображення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22D6711A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Нині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моралі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традиції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звичаї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згадується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галузях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приватного права. Так, у ст. 7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встановлюється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цивільні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звичаєм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звичаєм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ділового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обігу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7BDC46B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Звичай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правило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яке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встановлене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усталеним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певній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цивільних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66250BC5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lastRenderedPageBreak/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міститися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неформалізованих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сучасного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стану нормативного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неформалізованих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залишається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доволі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небагато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виключає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64168AC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моралі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традицій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звичаїв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джерелами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необхідними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передумови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6595BB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 </w:t>
      </w:r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 ’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єктивнии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елемент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тривала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211F8D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Єктівний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елемент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загальна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переконаність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тому,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правомірним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AC43F6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змістовна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візначеність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5C17B29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переліку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неформалізованих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правова</w:t>
      </w:r>
      <w:proofErr w:type="spellEnd"/>
      <w:r w:rsidRPr="005B34B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доктрина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 - система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основоположних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поглядів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правознавців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стратегічні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перспективи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науково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обґрунтовують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важливі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проблеми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з метою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орієнтують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практичну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дію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поставати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як регулятор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A9E897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доктрини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джерелом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 стало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об’єктивною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потребою,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КАС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містив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чималу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кількість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абсолютно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вітчизняних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правозастосовників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категорій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угода,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"https://vo.uu.edu.ua/mod/glossary/showentry.php?eid=26970&amp;displayformat=dictionary" \o "Глосарій Адміністративне право: Суб’єкт владних повноважень" </w:instrTex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суб’єкт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владних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повноважень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"https://vo.uu.edu.ua/mod/glossary/showentry.php?eid=26964&amp;displayformat=dictionary" \o "Глосарій Адміністративне право: Публічна служба" </w:instrTex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публічна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служба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б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покладати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основу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. За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відсутності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понять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користувалися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правовою доктриною.</w:t>
      </w:r>
    </w:p>
    <w:p w14:paraId="5F0C9590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Правова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доктрина як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"https://vo.uu.edu.ua/mod/glossary/showentry.php?eid=26930&amp;displayformat=dictionary" \o "Глосарій Адміністративне право: Джерело адміністративного права" </w:instrTex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джерело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права</w:t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5B34B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застосовуватися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таких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ситуаціях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0D28E68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прогалин у позитивному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є фундаментом права,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основою і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велике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права;</w:t>
      </w:r>
    </w:p>
    <w:p w14:paraId="28ADDE23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розроблення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312F9A9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•    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Конституційним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Судом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A4A68D7" w14:textId="77777777" w:rsidR="005B34BB" w:rsidRPr="005B34BB" w:rsidRDefault="005B34BB" w:rsidP="005B34BB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обґрунтування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та/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вживаючи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формулювання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панівної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науковій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34BB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5B34BB">
        <w:rPr>
          <w:rFonts w:ascii="Times New Roman" w:hAnsi="Times New Roman" w:cs="Times New Roman"/>
          <w:color w:val="000000" w:themeColor="text1"/>
          <w:lang w:eastAsia="ru-RU"/>
        </w:rPr>
        <w:t xml:space="preserve"> думки»)</w:t>
      </w:r>
      <w:r w:rsidRPr="005B34B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559F0CD4" w14:textId="77777777" w:rsidR="00512D50" w:rsidRPr="005B34BB" w:rsidRDefault="00512D50" w:rsidP="005B34BB">
      <w:pPr>
        <w:pStyle w:val="a5"/>
        <w:rPr>
          <w:rFonts w:ascii="Times New Roman" w:hAnsi="Times New Roman" w:cs="Times New Roman"/>
          <w:color w:val="000000" w:themeColor="text1"/>
        </w:rPr>
      </w:pPr>
    </w:p>
    <w:sectPr w:rsidR="00512D50" w:rsidRPr="005B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87"/>
    <w:rsid w:val="00512D50"/>
    <w:rsid w:val="005B34BB"/>
    <w:rsid w:val="00B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0FAB"/>
  <w15:chartTrackingRefBased/>
  <w15:docId w15:val="{E9518F41-42A0-4319-A595-D1D67817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4BB"/>
    <w:rPr>
      <w:color w:val="0000FF"/>
      <w:u w:val="single"/>
    </w:rPr>
  </w:style>
  <w:style w:type="paragraph" w:styleId="a5">
    <w:name w:val="No Spacing"/>
    <w:uiPriority w:val="1"/>
    <w:qFormat/>
    <w:rsid w:val="005B3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6708</Words>
  <Characters>38237</Characters>
  <Application>Microsoft Office Word</Application>
  <DocSecurity>0</DocSecurity>
  <Lines>318</Lines>
  <Paragraphs>89</Paragraphs>
  <ScaleCrop>false</ScaleCrop>
  <Company/>
  <LinksUpToDate>false</LinksUpToDate>
  <CharactersWithSpaces>44856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2022-08-19T04:54:00Z</dcterms:created>
  <dcterms:modified xsi:type="dcterms:W3CDTF">2022-08-19T04:58:00Z</dcterms:modified>
</cp:coreProperties>
</file>