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2" w:rsidRPr="00900232" w:rsidRDefault="00900232" w:rsidP="00900232">
      <w:pPr>
        <w:ind w:left="-1134" w:right="-426" w:firstLine="567"/>
        <w:jc w:val="both"/>
        <w:rPr>
          <w:b/>
          <w:sz w:val="28"/>
          <w:szCs w:val="28"/>
        </w:rPr>
      </w:pPr>
      <w:r w:rsidRPr="00900232">
        <w:rPr>
          <w:b/>
          <w:sz w:val="28"/>
          <w:szCs w:val="28"/>
        </w:rPr>
        <w:t>Тема 1</w:t>
      </w:r>
      <w:r w:rsidRPr="00900232">
        <w:rPr>
          <w:b/>
          <w:sz w:val="28"/>
          <w:szCs w:val="28"/>
          <w:lang w:val="uk-UA"/>
        </w:rPr>
        <w:t>1</w:t>
      </w:r>
      <w:r w:rsidRPr="00900232">
        <w:rPr>
          <w:b/>
          <w:sz w:val="28"/>
          <w:szCs w:val="28"/>
        </w:rPr>
        <w:t xml:space="preserve">. Держава і право за </w:t>
      </w:r>
      <w:proofErr w:type="spellStart"/>
      <w:r w:rsidRPr="00900232">
        <w:rPr>
          <w:b/>
          <w:sz w:val="28"/>
          <w:szCs w:val="28"/>
        </w:rPr>
        <w:t>гетьманату</w:t>
      </w:r>
      <w:proofErr w:type="spellEnd"/>
      <w:r w:rsidRPr="00900232">
        <w:rPr>
          <w:b/>
          <w:sz w:val="28"/>
          <w:szCs w:val="28"/>
          <w:lang w:val="uk-UA"/>
        </w:rPr>
        <w:t xml:space="preserve"> </w:t>
      </w:r>
      <w:r w:rsidRPr="00900232">
        <w:rPr>
          <w:b/>
          <w:sz w:val="28"/>
          <w:szCs w:val="28"/>
        </w:rPr>
        <w:t xml:space="preserve">П. </w:t>
      </w:r>
      <w:proofErr w:type="spellStart"/>
      <w:r w:rsidRPr="00900232">
        <w:rPr>
          <w:b/>
          <w:sz w:val="28"/>
          <w:szCs w:val="28"/>
        </w:rPr>
        <w:t>Скоропадського</w:t>
      </w:r>
      <w:proofErr w:type="spellEnd"/>
      <w:r w:rsidRPr="00900232">
        <w:rPr>
          <w:b/>
          <w:sz w:val="28"/>
          <w:szCs w:val="28"/>
        </w:rPr>
        <w:t xml:space="preserve"> </w:t>
      </w:r>
    </w:p>
    <w:p w:rsidR="00900232" w:rsidRPr="00900232" w:rsidRDefault="00900232" w:rsidP="00900232">
      <w:pPr>
        <w:pStyle w:val="ab"/>
        <w:numPr>
          <w:ilvl w:val="0"/>
          <w:numId w:val="1"/>
        </w:numPr>
        <w:ind w:right="-426"/>
        <w:jc w:val="both"/>
        <w:rPr>
          <w:b/>
          <w:i/>
          <w:sz w:val="28"/>
          <w:szCs w:val="28"/>
          <w:lang w:val="uk-UA"/>
        </w:rPr>
      </w:pPr>
      <w:proofErr w:type="spellStart"/>
      <w:r w:rsidRPr="00900232">
        <w:rPr>
          <w:b/>
          <w:i/>
          <w:sz w:val="28"/>
          <w:szCs w:val="28"/>
        </w:rPr>
        <w:t>Формування</w:t>
      </w:r>
      <w:proofErr w:type="spellEnd"/>
      <w:r w:rsidRPr="00900232">
        <w:rPr>
          <w:b/>
          <w:i/>
          <w:sz w:val="28"/>
          <w:szCs w:val="28"/>
        </w:rPr>
        <w:t xml:space="preserve"> </w:t>
      </w:r>
      <w:proofErr w:type="spellStart"/>
      <w:r w:rsidRPr="00900232">
        <w:rPr>
          <w:b/>
          <w:i/>
          <w:sz w:val="28"/>
          <w:szCs w:val="28"/>
        </w:rPr>
        <w:t>держави</w:t>
      </w:r>
      <w:proofErr w:type="spellEnd"/>
      <w:r w:rsidRPr="00900232">
        <w:rPr>
          <w:b/>
          <w:i/>
          <w:sz w:val="28"/>
          <w:szCs w:val="28"/>
        </w:rPr>
        <w:t xml:space="preserve"> </w:t>
      </w:r>
    </w:p>
    <w:p w:rsidR="00900232" w:rsidRPr="00900232" w:rsidRDefault="00900232" w:rsidP="00900232">
      <w:pPr>
        <w:pStyle w:val="ab"/>
        <w:numPr>
          <w:ilvl w:val="0"/>
          <w:numId w:val="1"/>
        </w:numPr>
        <w:ind w:right="-426"/>
        <w:jc w:val="both"/>
        <w:rPr>
          <w:b/>
          <w:i/>
          <w:sz w:val="28"/>
          <w:szCs w:val="28"/>
          <w:lang w:val="uk-UA"/>
        </w:rPr>
      </w:pPr>
      <w:proofErr w:type="spellStart"/>
      <w:r w:rsidRPr="00900232">
        <w:rPr>
          <w:b/>
          <w:i/>
          <w:sz w:val="28"/>
          <w:szCs w:val="28"/>
        </w:rPr>
        <w:t>Законодавча</w:t>
      </w:r>
      <w:proofErr w:type="spellEnd"/>
      <w:r w:rsidRPr="00900232">
        <w:rPr>
          <w:b/>
          <w:i/>
          <w:sz w:val="28"/>
          <w:szCs w:val="28"/>
        </w:rPr>
        <w:t xml:space="preserve"> </w:t>
      </w:r>
      <w:proofErr w:type="spellStart"/>
      <w:r w:rsidRPr="00900232">
        <w:rPr>
          <w:b/>
          <w:i/>
          <w:sz w:val="28"/>
          <w:szCs w:val="28"/>
        </w:rPr>
        <w:t>діяльність</w:t>
      </w:r>
      <w:proofErr w:type="spellEnd"/>
      <w:r w:rsidRPr="00900232">
        <w:rPr>
          <w:b/>
          <w:i/>
          <w:sz w:val="28"/>
          <w:szCs w:val="28"/>
        </w:rPr>
        <w:t xml:space="preserve"> </w:t>
      </w:r>
    </w:p>
    <w:p w:rsid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</w:rPr>
      </w:pPr>
      <w:proofErr w:type="spellStart"/>
      <w:r w:rsidRPr="00900232">
        <w:rPr>
          <w:sz w:val="28"/>
          <w:szCs w:val="28"/>
        </w:rPr>
        <w:t>Література</w:t>
      </w:r>
      <w:proofErr w:type="spellEnd"/>
      <w:r w:rsidRPr="00900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ІСТОРІЯ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права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00232">
        <w:rPr>
          <w:sz w:val="28"/>
          <w:szCs w:val="28"/>
        </w:rPr>
        <w:t>П</w:t>
      </w:r>
      <w:proofErr w:type="gramEnd"/>
      <w:r w:rsidRPr="00900232">
        <w:rPr>
          <w:sz w:val="28"/>
          <w:szCs w:val="28"/>
        </w:rPr>
        <w:t>ідручник</w:t>
      </w:r>
      <w:proofErr w:type="spellEnd"/>
    </w:p>
    <w:p w:rsid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900232">
        <w:rPr>
          <w:sz w:val="28"/>
          <w:szCs w:val="28"/>
        </w:rPr>
        <w:t>https</w:t>
      </w:r>
      <w:proofErr w:type="spellEnd"/>
      <w:r w:rsidRPr="00900232">
        <w:rPr>
          <w:sz w:val="28"/>
          <w:szCs w:val="28"/>
          <w:lang w:val="uk-UA"/>
        </w:rPr>
        <w:t>://</w:t>
      </w:r>
      <w:proofErr w:type="spellStart"/>
      <w:r w:rsidRPr="00900232">
        <w:rPr>
          <w:sz w:val="28"/>
          <w:szCs w:val="28"/>
        </w:rPr>
        <w:t>maup</w:t>
      </w:r>
      <w:proofErr w:type="spellEnd"/>
      <w:r w:rsidRPr="00900232">
        <w:rPr>
          <w:sz w:val="28"/>
          <w:szCs w:val="28"/>
          <w:lang w:val="uk-UA"/>
        </w:rPr>
        <w:t>.</w:t>
      </w:r>
      <w:proofErr w:type="spellStart"/>
      <w:r w:rsidRPr="00900232">
        <w:rPr>
          <w:sz w:val="28"/>
          <w:szCs w:val="28"/>
        </w:rPr>
        <w:t>com</w:t>
      </w:r>
      <w:proofErr w:type="spellEnd"/>
      <w:r w:rsidRPr="00900232">
        <w:rPr>
          <w:sz w:val="28"/>
          <w:szCs w:val="28"/>
          <w:lang w:val="uk-UA"/>
        </w:rPr>
        <w:t>.</w:t>
      </w:r>
      <w:proofErr w:type="spellStart"/>
      <w:r w:rsidRPr="00900232">
        <w:rPr>
          <w:sz w:val="28"/>
          <w:szCs w:val="28"/>
        </w:rPr>
        <w:t>ua</w:t>
      </w:r>
      <w:proofErr w:type="spellEnd"/>
      <w:r w:rsidRPr="00900232">
        <w:rPr>
          <w:sz w:val="28"/>
          <w:szCs w:val="28"/>
          <w:lang w:val="uk-UA"/>
        </w:rPr>
        <w:t>/</w:t>
      </w:r>
      <w:proofErr w:type="spellStart"/>
      <w:r w:rsidRPr="00900232">
        <w:rPr>
          <w:sz w:val="28"/>
          <w:szCs w:val="28"/>
        </w:rPr>
        <w:t>assets</w:t>
      </w:r>
      <w:proofErr w:type="spellEnd"/>
      <w:r w:rsidRPr="00900232">
        <w:rPr>
          <w:sz w:val="28"/>
          <w:szCs w:val="28"/>
          <w:lang w:val="uk-UA"/>
        </w:rPr>
        <w:t>/</w:t>
      </w:r>
      <w:proofErr w:type="spellStart"/>
      <w:r w:rsidRPr="00900232">
        <w:rPr>
          <w:sz w:val="28"/>
          <w:szCs w:val="28"/>
        </w:rPr>
        <w:t>files</w:t>
      </w:r>
      <w:proofErr w:type="spellEnd"/>
      <w:r w:rsidRPr="00900232">
        <w:rPr>
          <w:sz w:val="28"/>
          <w:szCs w:val="28"/>
          <w:lang w:val="uk-UA"/>
        </w:rPr>
        <w:t>/</w:t>
      </w:r>
      <w:proofErr w:type="spellStart"/>
      <w:r w:rsidRPr="00900232">
        <w:rPr>
          <w:sz w:val="28"/>
          <w:szCs w:val="28"/>
        </w:rPr>
        <w:t>lib</w:t>
      </w:r>
      <w:proofErr w:type="spellEnd"/>
      <w:r w:rsidRPr="00900232">
        <w:rPr>
          <w:sz w:val="28"/>
          <w:szCs w:val="28"/>
          <w:lang w:val="uk-UA"/>
        </w:rPr>
        <w:t>/</w:t>
      </w:r>
      <w:proofErr w:type="spellStart"/>
      <w:r w:rsidRPr="00900232">
        <w:rPr>
          <w:sz w:val="28"/>
          <w:szCs w:val="28"/>
        </w:rPr>
        <w:t>book</w:t>
      </w:r>
      <w:proofErr w:type="spellEnd"/>
      <w:r w:rsidRPr="00900232">
        <w:rPr>
          <w:sz w:val="28"/>
          <w:szCs w:val="28"/>
          <w:lang w:val="uk-UA"/>
        </w:rPr>
        <w:t>/</w:t>
      </w:r>
      <w:r w:rsidRPr="00900232">
        <w:rPr>
          <w:sz w:val="28"/>
          <w:szCs w:val="28"/>
        </w:rPr>
        <w:t>p</w:t>
      </w:r>
      <w:r w:rsidRPr="00900232">
        <w:rPr>
          <w:sz w:val="28"/>
          <w:szCs w:val="28"/>
          <w:lang w:val="uk-UA"/>
        </w:rPr>
        <w:t>09_24.</w:t>
      </w:r>
      <w:proofErr w:type="spellStart"/>
      <w:r w:rsidRPr="00900232">
        <w:rPr>
          <w:sz w:val="28"/>
          <w:szCs w:val="28"/>
        </w:rPr>
        <w:t>pdf</w:t>
      </w:r>
      <w:proofErr w:type="spellEnd"/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00232" w:rsidRPr="00900232" w:rsidRDefault="00900232" w:rsidP="00900232">
      <w:pPr>
        <w:pStyle w:val="ab"/>
        <w:numPr>
          <w:ilvl w:val="0"/>
          <w:numId w:val="2"/>
        </w:numPr>
        <w:ind w:right="-426"/>
        <w:jc w:val="both"/>
        <w:rPr>
          <w:b/>
          <w:i/>
          <w:sz w:val="28"/>
          <w:szCs w:val="28"/>
          <w:lang w:val="uk-UA"/>
        </w:rPr>
      </w:pPr>
      <w:r w:rsidRPr="00900232">
        <w:rPr>
          <w:b/>
          <w:i/>
          <w:sz w:val="28"/>
          <w:szCs w:val="28"/>
          <w:lang w:val="uk-UA"/>
        </w:rPr>
        <w:t>Формування держави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На скликаному у Києві 29 квітн</w:t>
      </w:r>
      <w:r w:rsidR="00374285">
        <w:rPr>
          <w:sz w:val="28"/>
          <w:szCs w:val="28"/>
          <w:lang w:val="uk-UA"/>
        </w:rPr>
        <w:t xml:space="preserve">я 1918 р. за ініціативою “Союзу </w:t>
      </w:r>
      <w:r w:rsidRPr="00900232">
        <w:rPr>
          <w:sz w:val="28"/>
          <w:szCs w:val="28"/>
          <w:lang w:val="uk-UA"/>
        </w:rPr>
        <w:t>земельних власників” з’їзді українських хліборобів нащадок давнього роду козацької старшини П. Скоропадський був проголошений Гетьманом України. Центральна Рада була розігнана окупаційними військами. Але не слід вважати організаторами її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повалення німців чи австрійців. Це сталося як закономірний результат невдоволення заможніших верств населення, які вимагали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відновити приватну власність й покласти край революційному хаосові. Авторитетний бойовий генерал П. Скоропадський ще з початком революції українізував своє військове з’єднання, але Центральна Рада відкинула його послуги. Прихід до влади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П. Скоропадського був умотивований намаганнями відновити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правопорядок, скасувати “соціалістичні експерименти” Центральної Ради.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Протягом доби прихильники Гетьмана заволоділи державними установами. У день свого обрання П. Скоропадський звернувся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 “Грамотою до всього українського народу” і оприлюднив Закони про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тимчасовий державний устрій України, в основу яких була покладена ідея короткочасної сильної влади. Центральна Рада, Мала Рада,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земельні комітети розпускалися, закони Центральної Ради 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Тимчасового російського уряду скасовувалися. За Україною закріплювалася нова офіційна назва “Українська держава”.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 Законами про тимчасовий державний устрій України “влада управління належала виключно до Гетьмана України в межах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усієї Української держави”. В </w:t>
      </w:r>
      <w:proofErr w:type="spellStart"/>
      <w:r w:rsidRPr="00900232">
        <w:rPr>
          <w:sz w:val="28"/>
          <w:szCs w:val="28"/>
          <w:lang w:val="uk-UA"/>
        </w:rPr>
        <w:t>історико-правовій</w:t>
      </w:r>
      <w:proofErr w:type="spellEnd"/>
      <w:r w:rsidRPr="00900232">
        <w:rPr>
          <w:sz w:val="28"/>
          <w:szCs w:val="28"/>
          <w:lang w:val="uk-UA"/>
        </w:rPr>
        <w:t xml:space="preserve"> літературі існують різні точки зору на природу гетьманської влади. Дехто з учених вважає, що із заснуванням Гетьманату в Україні відбувся перехід до президентської республіки. Дехто з дослідників говорить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про повернення до монархічної форми правління. Справді, титул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“Гетьман” асоціюється з </w:t>
      </w:r>
      <w:proofErr w:type="spellStart"/>
      <w:r w:rsidRPr="00900232">
        <w:rPr>
          <w:sz w:val="28"/>
          <w:szCs w:val="28"/>
          <w:lang w:val="uk-UA"/>
        </w:rPr>
        <w:t>квазімонархічними</w:t>
      </w:r>
      <w:proofErr w:type="spellEnd"/>
      <w:r w:rsidRPr="00900232">
        <w:rPr>
          <w:sz w:val="28"/>
          <w:szCs w:val="28"/>
          <w:lang w:val="uk-UA"/>
        </w:rPr>
        <w:t xml:space="preserve"> традиціями, пов’язаними з козацькими гетьманами.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Фактично ж “до обрання Сейму” встановлювався тимчасовий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диктаторський режим. Гетьману належала вся повнота законодавчої і виконавчої влади. “Без його санкцій ніякий закон не може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мати сили”. Проте усякі урядові акти гетьмана мали бути контрасигновані Отаманом Ради Міністрів або одним із відповідних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міністрів. Він призначав і звільняв виконавчу владу — Отамана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Ради Міністрів і весь склад уряду. До повноважень Гетьмана належало керівництво зовнішньополітичною діяльністю. Він був “Верховним Воєводою Української Армії і Флоту”, оголошував військовий та </w:t>
      </w:r>
      <w:proofErr w:type="spellStart"/>
      <w:r w:rsidRPr="00900232">
        <w:rPr>
          <w:sz w:val="28"/>
          <w:szCs w:val="28"/>
          <w:lang w:val="uk-UA"/>
        </w:rPr>
        <w:t>осадний</w:t>
      </w:r>
      <w:proofErr w:type="spellEnd"/>
      <w:r w:rsidRPr="00900232">
        <w:rPr>
          <w:sz w:val="28"/>
          <w:szCs w:val="28"/>
          <w:lang w:val="uk-UA"/>
        </w:rPr>
        <w:t xml:space="preserve"> стан (припиняв усі громадсько-політичні свободи),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виконував право загальної амністії, здійснював особисте помилування.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Дбаючи про неперервність керівництва країною, П. Скоропадський 1 серпня 1918 р. затвердив ухвалений Радою Міністрів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тимчасовий Закон “Про верховне управління Державою на випадок смерті, тяжкої хвороби і перебування поза межами Держави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ясновельможного Пана Гетьмана всієї України”. За цим законом 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зазначених випадках </w:t>
      </w:r>
      <w:r w:rsidRPr="00900232">
        <w:rPr>
          <w:sz w:val="28"/>
          <w:szCs w:val="28"/>
          <w:lang w:val="uk-UA"/>
        </w:rPr>
        <w:lastRenderedPageBreak/>
        <w:t>влада переходила до Колегії Верховних Правителів Держави. Колегія мала складатися з трьох осіб: одного правителя заздалегідь визначав сам Гетьман, одного обирав Сенат і одного — Рада Міністрів. Характеризуючи цей закон, можна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стверджувати, що спостерігалося прагнення створити механізм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правового забезпечення стабільності і наступності вищої державної влади.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“Законами про тимчасовий державний устрій України” функція організації і координації діяльності центральних відомств “по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предметах як законодавства, так і вищого державного управління”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покладалася на призначену Гетьманом Раду Міністрів. Очолював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Раду Міністрів Отаман — Міністр, який згодом почав називатися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Головою Ради Міністрів. “Керування справами Ради Міністрів”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покладалося на “Генерального Секретаря (згодом почав називатися Державним Секретарем) і на підпорядковану йому Державну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Генеральну Канцелярію”. На початку травня було затверджено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склад Ради Міністрів, до якої ввійшли міністри внутрішніх справ,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закордонних справ, фінансів, торгівлі і промисловості, земельних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справ, народної освіти (21 червня перейменовано у Міністерство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народної освіти та мистецтв), судових справ, військовий міністр,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генеральний контролер. Також б</w:t>
      </w:r>
      <w:r w:rsidR="00374285">
        <w:rPr>
          <w:sz w:val="28"/>
          <w:szCs w:val="28"/>
          <w:lang w:val="uk-UA"/>
        </w:rPr>
        <w:t xml:space="preserve">уло створено нові: Міністерство </w:t>
      </w:r>
      <w:r w:rsidRPr="00900232">
        <w:rPr>
          <w:sz w:val="28"/>
          <w:szCs w:val="28"/>
          <w:lang w:val="uk-UA"/>
        </w:rPr>
        <w:t>народного здоров’я і Міністерство сповідань, що займалося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релігійними справами. Міністерства поділялися на департаменти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й управління. Гетьман 25 травня затвердив “Положення про Малу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Раду Міністрів”, яка складалася з товаришів (заступників) міністрів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і мала розглядати пропозиції окремих міністерств, що не потребували письмового узгодження, проекти штатів та кошторису окремих міністерств тощо.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Соціалістичні діячі, більшість із яких були членами Центральної Ради, не змогли стати над партійними інтересами і не підтримали гетьманський уряд. Тому уряд було сформовано з участю кадетів та монархістів. Проте це були талановиті адміністратори.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Що стосується численних тверджень про неукраїнське походження членів гетьманського уряду, то воно не відповідає дійсності. Переважна більшість членів уряду була українського походження, 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тому числі його голова професор М. Василенко, великий землевласник Ф. Лизогуб, який потім очолив уряд, видатний український політичний діяч та історик Д. Дорошенко та ін. Проте після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відставки Ф. Лизогуба у сформованому 14 листопада </w:t>
      </w:r>
      <w:proofErr w:type="spellStart"/>
      <w:r w:rsidRPr="00900232">
        <w:rPr>
          <w:sz w:val="28"/>
          <w:szCs w:val="28"/>
          <w:lang w:val="uk-UA"/>
        </w:rPr>
        <w:t>проантантівському</w:t>
      </w:r>
      <w:proofErr w:type="spellEnd"/>
      <w:r w:rsidRPr="00900232">
        <w:rPr>
          <w:sz w:val="28"/>
          <w:szCs w:val="28"/>
          <w:lang w:val="uk-UA"/>
        </w:rPr>
        <w:t xml:space="preserve"> і проросійському уряді на чолі з С. </w:t>
      </w:r>
      <w:proofErr w:type="spellStart"/>
      <w:r w:rsidRPr="00900232">
        <w:rPr>
          <w:sz w:val="28"/>
          <w:szCs w:val="28"/>
          <w:lang w:val="uk-UA"/>
        </w:rPr>
        <w:t>Гербелем</w:t>
      </w:r>
      <w:proofErr w:type="spellEnd"/>
      <w:r w:rsidRPr="00900232">
        <w:rPr>
          <w:sz w:val="28"/>
          <w:szCs w:val="28"/>
          <w:lang w:val="uk-UA"/>
        </w:rPr>
        <w:t xml:space="preserve"> українців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майже не було.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Для періоду гетьманства характерний розвиток інституту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державної служби. В основу вимог до держслужбовців було покладено не їхні політичні уподобання, а професійні ознаки. Згідно з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гетьманською “Грамотою до </w:t>
      </w:r>
      <w:r w:rsidR="00374285">
        <w:rPr>
          <w:sz w:val="28"/>
          <w:szCs w:val="28"/>
          <w:lang w:val="uk-UA"/>
        </w:rPr>
        <w:t xml:space="preserve">всього українського народу” від </w:t>
      </w:r>
      <w:r w:rsidRPr="00900232">
        <w:rPr>
          <w:sz w:val="28"/>
          <w:szCs w:val="28"/>
          <w:lang w:val="uk-UA"/>
        </w:rPr>
        <w:t>29 квітня, урядовців, окрім міністрів Центральної Ради і їх заступників, було залишено на посадах. Відповідно до Закону “Про порядок призначення на державну службу” від 25 травня, всі, хто перебував чи вступав на державну службу, а також військові й судді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мали приносити “урочисту обітницю” на вірність Українській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державі.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До здобутків Української держави варто зарахувати й успіхи 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зовнішньополітичній сфері. Якщо Центральна Рада мала дипломатичні стосунки лише з Німеччиною, Австро-Угорщиною і Туреччиною, то Гетьманат обмінявся посольствами з 12 державами. Під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тиском німців навіть Радянська Росія визнала Українську державу.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 короткий термін було створено власну дипломатичну службу.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lastRenderedPageBreak/>
        <w:t>Формування органів місцевого управління відбувалося в ситуації гострого протистояння з боку місцевих організацій політичних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партій, більшість яких була соціалістичного спрямування. До того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ж Гетьман, розпустивши органи місцевого управління і комісарів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Центральної Ради, поновив діючий ще за царату </w:t>
      </w:r>
      <w:proofErr w:type="spellStart"/>
      <w:r w:rsidRPr="00900232">
        <w:rPr>
          <w:sz w:val="28"/>
          <w:szCs w:val="28"/>
          <w:lang w:val="uk-UA"/>
        </w:rPr>
        <w:t>адміністративнотериторіальний</w:t>
      </w:r>
      <w:proofErr w:type="spellEnd"/>
      <w:r w:rsidRPr="00900232">
        <w:rPr>
          <w:sz w:val="28"/>
          <w:szCs w:val="28"/>
          <w:lang w:val="uk-UA"/>
        </w:rPr>
        <w:t xml:space="preserve"> поділ. У губерніях, повітах із місцевих поміщиків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та земських діячів призначалися старости, яким належала вся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повнота влади на місцях. Губернські старости за своїм статусом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практично дорівнювали царським губернаторам. За Законом від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30 листопада поновлювався колишній інститут “земських начальників”, утворювалися повітові та губернські ради у сільських справах. Територіальне самоврядування було позбавлене загального 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рівного виборчого права. Усе це переконливо свідчить про те, що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система місцевої влади формувалася за зразком колишньої російської моделі. За кілька місяців в Україні було створено дієвий адміністративний апарат. Але російське чиновництво, яке перебувало в державній адміністрації, було більше заінтересоване 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відновленні імперії. Безпосередньо системою місцевої адміністрації, як і за часів УНР, керувало Міністерство внутрішніх справ.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Гетьманські установи та органи зазнавали постійного втручання окупаційної влади, яка здійснювала грабіжницьку політику 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Україні. До Німеччини ешелонами вивозилося продовольство 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промислове устаткування. Розпочалося масове повернення в Україну поміщиків і капіталістів, яким поверталися заводи, фабрики, землі, маєтки, виплачувалася компенсація за збитки. Все це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спричинило надзвичайне загострення соціально-політичної ситуації у країні.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Ситуацію в Українській державі ускладнювало також протистояння місцевої адміністрації й органів місцевого самоврядування, що перебували під впливом опозиційних до Гетьмана українських політичних партій. У травні Міністерство внутрішніх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справ заборонило з’їзд представників міст. Були розпущені Катеринославська й Одеська міські думи. За Законом від 29 червня губернські старости дістали право розпускати волосні земські збори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й управи, міські думи. Водночас гетьманський уряд намагався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створити на місцях лояльне до Гетьманату самоврядування. Сподіваючись знайти соціальну опору режиму у середовищі заможних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селян, Гетьман виокремив їх у самостійну категорію громадян —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козаків. Новий Закон про вибори до земств від 5 вересня запроваджував куріальну систему виборів (право голосу давало нерухоме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майно, підприємство або стан і освіта), що мало сприяти тому,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щоб земське життя спрямовували представники вищих станів та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заможні хлібороби.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Реформування судової системи Української держави розпочалося з вищої судової інстанції — Генерального Суду. У Законах про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тимчасовий державний устрій України від 29 квітня у розділі “Про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Генеральний Суд” зазначалося, що він “уявляє собою вищого хоронителя і захисника закону та Вищий Суд України в справах судових та адміністративних”. На Генеральний Суд покладалося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оголошення всіх законів та наказів уряду. Призначення Генеральних суддів відтепер повинен був призначати Гетьман. У травні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Гетьман затвердив закон про титул, іменем якого твориться суд 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Україні — “іменем Закону Української держави”. Відповідно до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Закону від 2 червня, Генеральний Суд мав складатися з департаментів: цивільного, карного й адміністративного. На нього покладалися функції, які раніше належали російському “</w:t>
      </w:r>
      <w:proofErr w:type="spellStart"/>
      <w:r w:rsidRPr="00900232">
        <w:rPr>
          <w:sz w:val="28"/>
          <w:szCs w:val="28"/>
          <w:lang w:val="uk-UA"/>
        </w:rPr>
        <w:t>Правительствующему</w:t>
      </w:r>
      <w:proofErr w:type="spellEnd"/>
      <w:r w:rsidRPr="00900232">
        <w:rPr>
          <w:sz w:val="28"/>
          <w:szCs w:val="28"/>
          <w:lang w:val="uk-UA"/>
        </w:rPr>
        <w:t xml:space="preserve"> Сенату”, а також касаційні функції Головного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Військового Суду. Реформування вищої судової </w:t>
      </w:r>
      <w:r w:rsidRPr="00900232">
        <w:rPr>
          <w:sz w:val="28"/>
          <w:szCs w:val="28"/>
          <w:lang w:val="uk-UA"/>
        </w:rPr>
        <w:lastRenderedPageBreak/>
        <w:t>інстанції було завершено після створення, відповідно до закону від 8 липня,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Державного Сенату на чолі з Президентом, який складався з Адміністративного, Цивільного і Карного Генеральних Судів.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Законом від 8 липня “Про Судові палати й Апеляційні суди”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було скасовано апеляційні суди і відновлено діяльність Судових палат: Київської, Харківської та Одеської. Адміністративні, цивільні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й кримінальні справи розглядалися окружними судами у складі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постійних суддів і 12 присяжних засідателів. Відновлювалася й мирова юстиція. Постановами Ради Міністрів від 14 та 21 липня було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розширено підсудність кримінальних та цивільних справ мировим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суддям.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Загальне керівництво судочинством покладалося на Міністерство юстиції, компетенція якого розширювалася. Так, міністр юстиції отримав право призначати і звільняти з посад мирових суддів і голів з’їздів мирових суддів.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Крім загальних судів, існували й військові суди, значення яких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збільшувалося у міру того, як Гетьман посилював репресії. Відповідно до Закону від 21 червня “Про організацію військово-судових установ та їх компетенцію”, вони поділялися на вищі (Київський та Катеринославський) і штабні — ті, що діяли при штабах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дивізій, корпусів і Головному штабі. У справах про заколоти, агітацію проти Української держави, протидію владі, вбивства застосовувалася виключна підсудність.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Судові установи під час розгляду справ керувалися кримінальним і кримінально-процесуальним законодавством Російської імперії, щоправда, вносячи певні зміни відповідно до нових умов до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складу злочинів і призначення міри покарання.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Організовувалася українська прокуратура. Законом “Про Державний Сенат” встановлювалися посади прокурорів і товаришів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(заступників) прокурорів. Обов’язки Генерального прокурора покладалися на міністра юстиції. Передбачалась участь прокурора 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засіданнях військових судів.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Поновлювалася діяльність адвокатури, на яку покладалася функція представництва у цивільних і захисту у кримінальних справах. Першим кроком у створенні власного нотаріату стало встановлення порядку призначення і звільнення нотаріусів Києва,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Харкова й Одеси. За поданням відповідних окружних судів нотаріусів мало призначати (звільняти) Міністерство юстиції.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У системі правоохоронних органів чільне місце належало створеній відповідно до закону від 18 травня 1918 р. Державній варті.</w:t>
      </w:r>
    </w:p>
    <w:p w:rsid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На неї покладалися охоронні, розвідувальні, контррозвідувальні,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наглядові, силові й карні функції. Загальне керівництво її діяльністю здійснював департамент державної варти Міністерства внутрішніх справ, а в губерніях і містах — старости й отамани.</w:t>
      </w:r>
    </w:p>
    <w:p w:rsidR="00374285" w:rsidRDefault="00374285" w:rsidP="0090023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374285" w:rsidRPr="00900232" w:rsidRDefault="00374285" w:rsidP="0090023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00232" w:rsidRPr="00374285" w:rsidRDefault="00900232" w:rsidP="00374285">
      <w:pPr>
        <w:pStyle w:val="ab"/>
        <w:numPr>
          <w:ilvl w:val="0"/>
          <w:numId w:val="2"/>
        </w:numPr>
        <w:ind w:right="-426"/>
        <w:jc w:val="both"/>
        <w:rPr>
          <w:b/>
          <w:i/>
          <w:sz w:val="28"/>
          <w:szCs w:val="28"/>
          <w:lang w:val="uk-UA"/>
        </w:rPr>
      </w:pPr>
      <w:r w:rsidRPr="00374285">
        <w:rPr>
          <w:b/>
          <w:i/>
          <w:sz w:val="28"/>
          <w:szCs w:val="28"/>
          <w:lang w:val="uk-UA"/>
        </w:rPr>
        <w:t>Законодавча діяльність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Основні засади створення власної правової системи було визначено в Законах про тимчасовий державний устрій: “Українська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держава керується на твердих основах законів, виданих в установленій черзі”. Тут же встановлювалися й правові основи законотворчого процесу: “Закони розробляються в кожному Міністерстві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по належності і передаються на загальне обміркування Ради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Міністрів. По ухвалі Радою Міністрів внесених законопроектів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вони передаються на ствердження Гетьманові”. Міністрам надавалася </w:t>
      </w:r>
      <w:r w:rsidRPr="00900232">
        <w:rPr>
          <w:sz w:val="28"/>
          <w:szCs w:val="28"/>
          <w:lang w:val="uk-UA"/>
        </w:rPr>
        <w:lastRenderedPageBreak/>
        <w:t>можливість видавати розпорядження в розвитку і поясненні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законів. Законом від 2 червня “Про порядок складання законопроектів, внесення їх до Ради Міністрів, обговорення, затвердження їх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та про форму і порядок оголошення законів” керівництво цим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процесом покладалося на Державну канцелярію і Державного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секретаря. Про інтенсивність законодавчої діяльності гетьманського уряду свідчить той факт, що менш ніж за вісім місяців його існування було видано близько 300 законів.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Деякі попередні законодавчі акти Гетьман скасував як такі, що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суперечили соціально-полі</w:t>
      </w:r>
      <w:r w:rsidR="00374285">
        <w:rPr>
          <w:sz w:val="28"/>
          <w:szCs w:val="28"/>
          <w:lang w:val="uk-UA"/>
        </w:rPr>
        <w:t>тичним і економічним засадам Ук</w:t>
      </w:r>
      <w:r w:rsidRPr="00900232">
        <w:rPr>
          <w:sz w:val="28"/>
          <w:szCs w:val="28"/>
          <w:lang w:val="uk-UA"/>
        </w:rPr>
        <w:t>раїнської держави. Така доля спіткала, наприклад, досить суперечливий за своєю сутністю Закон Центральної Ради про національно-персональну автономію (скасований 9 липня 1918 р.).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Водночас гетьманська адміністрація вибірково застосовувала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правові акти із законодавчої спадщини як Центральної Ради, так 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Російської імперії. Наприклад, у циркулярі Міністерства праці від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16 травня зазначалося, що всі попередні акти у сфері трудового законодавства зберігають свою чинність, “якщо вони не скасовані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Урядом Української Держави”.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У міру того як затверджувалися відповідні закони Української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держави, скасовувалися попередні законодавчі акти, про що, як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правило, вказувалося в тексті цього закону. Показовим у цьому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сенсі є Закон про українське громадянство від 1 липня, остання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стаття якого скасувала Закон про громадянство, ухвалений Центральною Радою у березні 1918 р. На відміну від Закону Центральної Ради, цей Закон базувався на “нульовому варіанті”: усі російські піддані, що перебували в Україні під час видання цього закону,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визнавалися громадянами України.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Законодавство Української держави в цілому спрямовувалося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на захист права приватної власності. Було запроваджено українську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грошову систему, засновано банки. Особливе значення мало законодавче врегулювання земельного питання. Скасувавши закон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Центральної Ради про соціалізацію землі, Гетьманат вживав заходів щодо унормування становища селян і поміщиків. Для підготовки нового земельного закону було створено повітові та губернські земельні комісії, а також Вищу земельну комісію на чолі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 Гетьманом. Однак за затвердженим у листопаді під тиском Українського національного союзу на чолі з В. Винниченком проектом земельної реформи усі великі землеволодіння мали бути примусово викуплені державою й розподілені між селянами не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більше як по 25 десятин. Допускалося існування господарств 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розмірі до 200 десятин, якщо ці господарства мали культурне значення. Фактично це було повернення до скасованого Закону “Про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соціалізацію землі” з деякою модернізацією. Зрозуміло, що такий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законопроект викликав різко негативне ставлення великих землевласників.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Незаперечними є успіхи гетьманського уряду у законодавчому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забезпеченні культури й освіти. Було засновано близько 150 україномовних гімназій. У середн</w:t>
      </w:r>
      <w:r w:rsidR="00374285">
        <w:rPr>
          <w:sz w:val="28"/>
          <w:szCs w:val="28"/>
          <w:lang w:val="uk-UA"/>
        </w:rPr>
        <w:t>іх школах започатковувалося обо</w:t>
      </w:r>
      <w:r w:rsidRPr="00900232">
        <w:rPr>
          <w:sz w:val="28"/>
          <w:szCs w:val="28"/>
          <w:lang w:val="uk-UA"/>
        </w:rPr>
        <w:t>в’язкове вивчення української мови і літератури, а також історії та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географії України. У жовтні в Києві і Кам’янці-Подільському відкрилися українські університети. Було також засновано Український національний театр, Національну капелу, Національний музей, Національний архів та бібліотеку з понад 1 </w:t>
      </w:r>
      <w:proofErr w:type="spellStart"/>
      <w:r w:rsidRPr="00900232">
        <w:rPr>
          <w:sz w:val="28"/>
          <w:szCs w:val="28"/>
          <w:lang w:val="uk-UA"/>
        </w:rPr>
        <w:t>млн</w:t>
      </w:r>
      <w:proofErr w:type="spellEnd"/>
      <w:r w:rsidRPr="00900232">
        <w:rPr>
          <w:sz w:val="28"/>
          <w:szCs w:val="28"/>
          <w:lang w:val="uk-UA"/>
        </w:rPr>
        <w:t xml:space="preserve"> томів.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Вершиною освітньої діяльності Гетьманату стало урочисте відкриття 24 листопада Української академії наук. Президентом академії було обрано академіка В. Вернадського.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lastRenderedPageBreak/>
        <w:t>Створюючи власні збройні сили, гетьманська адміністрація зробила важливі кроки у законодавчому забезпеченні військового будівництва. Влітку 1918 р. Гетьман наказав військовому міністерству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відновити організацію козацтва як основного резерву військ. Важливе значення мали Закон про загальний військовий обов’язок від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24 липня та Закон про політично-правове становище службовців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військового відомства від 1 серпня 1918 р. Цими законами встановлювався строк служби два роки у піхоті й три — у кінноті та артилерії, військовослужбовцям заборонялося входити до складу політичних партій та організацій, вони позбавлялися активного 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пасивного виборчого права.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У вересні Рада Міністрів і Гетьман ухвалили план організації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української армії, що мала складатися з 8 корпусів, кінних дивізій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та інших військових з’єднань. Важлива роль відводилася Чорноморській флотилії, що складалася з кораблів, захоплених німцями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 Брестською угодою і переданих ними Україні. Для підготовки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військових кадрів засновувалися спеціальні школи. Було сформовано декілька військових з’єднань, в тому числі й Гвардійську </w:t>
      </w:r>
      <w:proofErr w:type="spellStart"/>
      <w:r w:rsidRPr="00900232">
        <w:rPr>
          <w:sz w:val="28"/>
          <w:szCs w:val="28"/>
          <w:lang w:val="uk-UA"/>
        </w:rPr>
        <w:t>Сердюцьку</w:t>
      </w:r>
      <w:proofErr w:type="spellEnd"/>
      <w:r w:rsidRPr="00900232">
        <w:rPr>
          <w:sz w:val="28"/>
          <w:szCs w:val="28"/>
          <w:lang w:val="uk-UA"/>
        </w:rPr>
        <w:t xml:space="preserve"> дивізію чисельністю 5 тис., укомплектовану молоддю, переважно з родин заможних селян.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Вживалися заходи для формування військових частин з козаків.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Козаки кожної губернії утворювали кіш на чолі з кошовим отаманом. До козацького стану належали нащадки козаків, але до нього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записували і всіх охочих. Передбачалося створити українську армію чисельністю близько 300 тис. Однак процес військового будівництва гальмувало командування окупаційних військ, яке боялося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створення в Україні власної великої військової сили.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Для періоду Гетьманату характерне посилення каральної спрямованості законодавства. Так, Законом від 8 липня 1918 р. “Про заходи боротьби з розладнанням сільського господарства” та іншими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актами поміщикам надавалося право використовувати примусову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працю під час жнив. За ухилення від повинностей селянам загрожували великі штрафи, тюремне ув’язнення та інші покарання. За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Законом від 27 травня врожай 1918 р. вважався власністю держави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і призначався на відправку до Німеччини й Австро-Угорщини. Селяни повинні були здати хліб державі за твердими цінами, окрім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частини, необхідної для прожиття. До вилучення продовольства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залучалися створені при німецьких комендатурах спеціальні команди, які застосовували жорсткі санкції і навіть розстріли. Народні маси позбавлялися політичних прав і свобод. Жорстко придушувалися будь-які прояви невдоволення чи опозиції. Це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спричинило активізацію повстанського руху і в умовах, коли окупаційні війська внаслідок революції в Німеччині та розпаду Австро-Угорської імперії залишали Україну, призвело до повалення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гетьманського режиму.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* * *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Гетьманат, що проіснував менше восьми місяців, спочатку зміг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здобути собі підтримку завдяки обіцянкам відтворити правопорядок. Залучивши представників соціально-економічної верхівки,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чиновництва та військових, він спромігся розпочати створення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центральних і місцевих органів управління, судової системи, правоохоронних органів та збройних сил. Було відновлено приватну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власність на землю, створено умови для відродження козацтва як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соціальної опори гетьманату, зроблено перші кроки на шляху до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розвитку національної освіти, науки і культури. Але реальна влада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в Україні значною мірою залежала від німецько-австрійського окупаційного командування, що не додавало </w:t>
      </w:r>
      <w:r w:rsidRPr="00900232">
        <w:rPr>
          <w:sz w:val="28"/>
          <w:szCs w:val="28"/>
          <w:lang w:val="uk-UA"/>
        </w:rPr>
        <w:lastRenderedPageBreak/>
        <w:t>популярності гетьманському режиму. Помилкою була спроба відновити стабільність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шляхом повернення дореволюційного соціально-економічного устрою, насамперед на селі.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Позитивним є прагнення законодавчого врегулювання суспільного життя.</w:t>
      </w:r>
    </w:p>
    <w:p w:rsidR="00374285" w:rsidRDefault="00374285" w:rsidP="00900232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>Завдання для самостійної роботи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ab/>
        <w:t xml:space="preserve"> 1.</w:t>
      </w:r>
      <w:r w:rsidRPr="00900232">
        <w:rPr>
          <w:sz w:val="28"/>
          <w:szCs w:val="28"/>
          <w:lang w:val="uk-UA"/>
        </w:rPr>
        <w:tab/>
        <w:t xml:space="preserve"> З’ясуйте, як прийшов до влади П. Скоропадський. Поясність,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 xml:space="preserve">які точки зору на природу гетьманської влади існують в </w:t>
      </w:r>
      <w:proofErr w:type="spellStart"/>
      <w:r w:rsidRPr="00900232">
        <w:rPr>
          <w:sz w:val="28"/>
          <w:szCs w:val="28"/>
          <w:lang w:val="uk-UA"/>
        </w:rPr>
        <w:t>історико-правовій</w:t>
      </w:r>
      <w:proofErr w:type="spellEnd"/>
      <w:r w:rsidRPr="00900232">
        <w:rPr>
          <w:sz w:val="28"/>
          <w:szCs w:val="28"/>
          <w:lang w:val="uk-UA"/>
        </w:rPr>
        <w:t xml:space="preserve"> літературі. Дайте правову характеристику режиму Гетьманату. Розкрийте коло повноважень Гетьмана.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ab/>
        <w:t xml:space="preserve"> 2.</w:t>
      </w:r>
      <w:r w:rsidRPr="00900232">
        <w:rPr>
          <w:sz w:val="28"/>
          <w:szCs w:val="28"/>
          <w:lang w:val="uk-UA"/>
        </w:rPr>
        <w:tab/>
        <w:t xml:space="preserve"> Охарактеризуйте державно-правовий статус Ради Міністрів,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на яку Законами про тимчасовий державний устрій України покладалася функція організації і координації діяльності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центральних відомств “по предметах як законодавства, так і</w:t>
      </w:r>
      <w:r w:rsidR="00374285">
        <w:rPr>
          <w:sz w:val="28"/>
          <w:szCs w:val="28"/>
          <w:lang w:val="uk-UA"/>
        </w:rPr>
        <w:t xml:space="preserve"> </w:t>
      </w:r>
      <w:r w:rsidRPr="00900232">
        <w:rPr>
          <w:sz w:val="28"/>
          <w:szCs w:val="28"/>
          <w:lang w:val="uk-UA"/>
        </w:rPr>
        <w:t>вищого державного управління”. Розкрийте склад, повноваження та порядок діяльності гетьманського уряду.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ab/>
        <w:t xml:space="preserve"> 3.</w:t>
      </w:r>
      <w:r w:rsidRPr="00900232">
        <w:rPr>
          <w:sz w:val="28"/>
          <w:szCs w:val="28"/>
          <w:lang w:val="uk-UA"/>
        </w:rPr>
        <w:tab/>
        <w:t xml:space="preserve"> Складіть схему центральних органів влади й управління Української держави часів Скоропадського. Розкрийте повноваження цих органів.</w:t>
      </w:r>
    </w:p>
    <w:p w:rsidR="00900232" w:rsidRP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r w:rsidRPr="00900232">
        <w:rPr>
          <w:sz w:val="28"/>
          <w:szCs w:val="28"/>
          <w:lang w:val="uk-UA"/>
        </w:rPr>
        <w:tab/>
        <w:t xml:space="preserve"> 4.</w:t>
      </w:r>
      <w:r w:rsidRPr="00900232">
        <w:rPr>
          <w:sz w:val="28"/>
          <w:szCs w:val="28"/>
          <w:lang w:val="uk-UA"/>
        </w:rPr>
        <w:tab/>
        <w:t xml:space="preserve"> Розкрийте здобутки Гетьманату в розвитку інституту державної служби, в зовнішньополітичній діяльності, у військовому будівництві.</w:t>
      </w:r>
    </w:p>
    <w:p w:rsidR="00900232" w:rsidRDefault="00900232" w:rsidP="00900232">
      <w:pPr>
        <w:ind w:left="-1134" w:right="-426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002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41" w:rsidRDefault="00501741" w:rsidP="00900232">
      <w:r>
        <w:separator/>
      </w:r>
    </w:p>
  </w:endnote>
  <w:endnote w:type="continuationSeparator" w:id="0">
    <w:p w:rsidR="00501741" w:rsidRDefault="00501741" w:rsidP="009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375954"/>
      <w:docPartObj>
        <w:docPartGallery w:val="Page Numbers (Bottom of Page)"/>
        <w:docPartUnique/>
      </w:docPartObj>
    </w:sdtPr>
    <w:sdtContent>
      <w:p w:rsidR="00900232" w:rsidRDefault="009002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1C">
          <w:rPr>
            <w:noProof/>
          </w:rPr>
          <w:t>7</w:t>
        </w:r>
        <w:r>
          <w:fldChar w:fldCharType="end"/>
        </w:r>
      </w:p>
    </w:sdtContent>
  </w:sdt>
  <w:p w:rsidR="00900232" w:rsidRDefault="00900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41" w:rsidRDefault="00501741" w:rsidP="00900232">
      <w:r>
        <w:separator/>
      </w:r>
    </w:p>
  </w:footnote>
  <w:footnote w:type="continuationSeparator" w:id="0">
    <w:p w:rsidR="00501741" w:rsidRDefault="00501741" w:rsidP="0090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2BC"/>
    <w:multiLevelType w:val="hybridMultilevel"/>
    <w:tmpl w:val="A90CC71E"/>
    <w:lvl w:ilvl="0" w:tplc="551C8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FA189E"/>
    <w:multiLevelType w:val="hybridMultilevel"/>
    <w:tmpl w:val="C4D81E78"/>
    <w:lvl w:ilvl="0" w:tplc="27B239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7"/>
    <w:rsid w:val="00374285"/>
    <w:rsid w:val="00501741"/>
    <w:rsid w:val="00900232"/>
    <w:rsid w:val="009779AE"/>
    <w:rsid w:val="00B51556"/>
    <w:rsid w:val="00C442F7"/>
    <w:rsid w:val="00D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900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232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232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900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232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232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2021-12-05T18:56:00Z</dcterms:created>
  <dcterms:modified xsi:type="dcterms:W3CDTF">2021-12-05T19:17:00Z</dcterms:modified>
</cp:coreProperties>
</file>