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636" w:rsidRDefault="00A14636" w:rsidP="00A14636">
      <w:pPr>
        <w:jc w:val="center"/>
        <w:rPr>
          <w:b/>
          <w:color w:val="000000"/>
          <w:sz w:val="28"/>
          <w:szCs w:val="28"/>
        </w:rPr>
      </w:pPr>
      <w:r>
        <w:rPr>
          <w:b/>
          <w:smallCaps/>
          <w:color w:val="000000"/>
          <w:sz w:val="28"/>
          <w:szCs w:val="28"/>
        </w:rPr>
        <w:t>Теми рефератів</w:t>
      </w:r>
    </w:p>
    <w:p w:rsidR="00A14636" w:rsidRPr="00D94F80" w:rsidRDefault="00A14636" w:rsidP="00A14636">
      <w:pPr>
        <w:pStyle w:val="a3"/>
        <w:numPr>
          <w:ilvl w:val="0"/>
          <w:numId w:val="1"/>
        </w:numPr>
        <w:jc w:val="both"/>
        <w:rPr>
          <w:sz w:val="28"/>
          <w:szCs w:val="28"/>
        </w:rPr>
      </w:pPr>
      <w:r w:rsidRPr="00D94F80">
        <w:rPr>
          <w:sz w:val="28"/>
          <w:szCs w:val="28"/>
        </w:rPr>
        <w:t>Особливості повідомлення учасників справи про дату, час та місце розгляду окремих категорій адміністративних справ</w:t>
      </w:r>
    </w:p>
    <w:p w:rsidR="00A14636" w:rsidRPr="00D94F80" w:rsidRDefault="00A14636" w:rsidP="00A14636">
      <w:pPr>
        <w:pStyle w:val="a3"/>
        <w:numPr>
          <w:ilvl w:val="0"/>
          <w:numId w:val="1"/>
        </w:numPr>
        <w:jc w:val="both"/>
        <w:rPr>
          <w:sz w:val="28"/>
          <w:szCs w:val="28"/>
        </w:rPr>
      </w:pPr>
      <w:bookmarkStart w:id="0" w:name="n11605"/>
      <w:bookmarkStart w:id="1" w:name="n11608"/>
      <w:bookmarkEnd w:id="0"/>
      <w:bookmarkEnd w:id="1"/>
      <w:r w:rsidRPr="00D94F80">
        <w:rPr>
          <w:sz w:val="28"/>
          <w:szCs w:val="28"/>
        </w:rPr>
        <w:t>Особливості подання заяв по суті справи в окремих категоріях адміністративних справ</w:t>
      </w:r>
    </w:p>
    <w:p w:rsidR="00A14636" w:rsidRPr="00D94F80" w:rsidRDefault="00A14636" w:rsidP="00A14636">
      <w:pPr>
        <w:pStyle w:val="a3"/>
        <w:numPr>
          <w:ilvl w:val="0"/>
          <w:numId w:val="1"/>
        </w:numPr>
        <w:jc w:val="both"/>
        <w:rPr>
          <w:sz w:val="28"/>
          <w:szCs w:val="28"/>
        </w:rPr>
      </w:pPr>
      <w:bookmarkStart w:id="2" w:name="n11609"/>
      <w:bookmarkStart w:id="3" w:name="n11611"/>
      <w:bookmarkEnd w:id="2"/>
      <w:bookmarkEnd w:id="3"/>
      <w:r w:rsidRPr="00D94F80">
        <w:rPr>
          <w:sz w:val="28"/>
          <w:szCs w:val="28"/>
        </w:rPr>
        <w:t>Особливості обчислення процесуальних строків в окремих категоріях адміністративних справ</w:t>
      </w:r>
    </w:p>
    <w:p w:rsidR="00A14636" w:rsidRPr="00D94F80" w:rsidRDefault="00A14636" w:rsidP="00A14636">
      <w:pPr>
        <w:pStyle w:val="a3"/>
        <w:numPr>
          <w:ilvl w:val="0"/>
          <w:numId w:val="1"/>
        </w:numPr>
        <w:jc w:val="both"/>
        <w:rPr>
          <w:sz w:val="28"/>
          <w:szCs w:val="28"/>
        </w:rPr>
      </w:pPr>
      <w:bookmarkStart w:id="4" w:name="n11612"/>
      <w:bookmarkStart w:id="5" w:name="n11617"/>
      <w:bookmarkEnd w:id="4"/>
      <w:bookmarkEnd w:id="5"/>
      <w:r w:rsidRPr="00D94F80">
        <w:rPr>
          <w:sz w:val="28"/>
          <w:szCs w:val="28"/>
        </w:rPr>
        <w:t>Особливості проголошення та вручення судових рішень в окремих категоріях адміністративних справ</w:t>
      </w:r>
    </w:p>
    <w:p w:rsidR="00A14636" w:rsidRPr="00D94F80" w:rsidRDefault="00A14636" w:rsidP="00A14636">
      <w:pPr>
        <w:pStyle w:val="a3"/>
        <w:numPr>
          <w:ilvl w:val="0"/>
          <w:numId w:val="1"/>
        </w:numPr>
        <w:jc w:val="both"/>
        <w:rPr>
          <w:sz w:val="28"/>
          <w:szCs w:val="28"/>
        </w:rPr>
      </w:pPr>
      <w:bookmarkStart w:id="6" w:name="n11618"/>
      <w:bookmarkStart w:id="7" w:name="n11620"/>
      <w:bookmarkEnd w:id="6"/>
      <w:bookmarkEnd w:id="7"/>
      <w:r w:rsidRPr="00D94F80">
        <w:rPr>
          <w:sz w:val="28"/>
          <w:szCs w:val="28"/>
        </w:rPr>
        <w:t>Особливості апеляційного та касаційного оскарження судових рішень в окремих категоріях адміністративних справ</w:t>
      </w:r>
      <w:bookmarkStart w:id="8" w:name="n11621"/>
      <w:bookmarkStart w:id="9" w:name="n11625"/>
      <w:bookmarkEnd w:id="8"/>
      <w:bookmarkEnd w:id="9"/>
    </w:p>
    <w:p w:rsidR="00A14636" w:rsidRPr="00D94F80" w:rsidRDefault="00A14636" w:rsidP="00A14636">
      <w:pPr>
        <w:pStyle w:val="a3"/>
        <w:numPr>
          <w:ilvl w:val="0"/>
          <w:numId w:val="1"/>
        </w:numPr>
        <w:jc w:val="both"/>
        <w:rPr>
          <w:sz w:val="28"/>
          <w:szCs w:val="28"/>
        </w:rPr>
      </w:pPr>
      <w:r w:rsidRPr="00D94F80">
        <w:rPr>
          <w:sz w:val="28"/>
          <w:szCs w:val="28"/>
        </w:rPr>
        <w:t>Особливості провадження у справах щодо оскарження рішень, дій або бездіяльності виборчих комісій, комісій з референдуму, членів цих комісій</w:t>
      </w:r>
    </w:p>
    <w:p w:rsidR="00A14636" w:rsidRPr="00D94F80" w:rsidRDefault="00A14636" w:rsidP="00A14636">
      <w:pPr>
        <w:pStyle w:val="a3"/>
        <w:numPr>
          <w:ilvl w:val="0"/>
          <w:numId w:val="1"/>
        </w:numPr>
        <w:jc w:val="both"/>
        <w:rPr>
          <w:sz w:val="28"/>
          <w:szCs w:val="28"/>
        </w:rPr>
      </w:pPr>
      <w:r w:rsidRPr="00D94F80">
        <w:rPr>
          <w:sz w:val="28"/>
          <w:szCs w:val="28"/>
        </w:rPr>
        <w:t>Особливості провадження у справах щодо уточнення списку виборців</w:t>
      </w:r>
    </w:p>
    <w:p w:rsidR="00A14636" w:rsidRPr="00D94F80" w:rsidRDefault="00A14636" w:rsidP="00A14636">
      <w:pPr>
        <w:pStyle w:val="a3"/>
        <w:numPr>
          <w:ilvl w:val="0"/>
          <w:numId w:val="1"/>
        </w:numPr>
        <w:jc w:val="both"/>
        <w:rPr>
          <w:sz w:val="28"/>
          <w:szCs w:val="28"/>
        </w:rPr>
      </w:pPr>
      <w:bookmarkStart w:id="10" w:name="n11638"/>
      <w:bookmarkStart w:id="11" w:name="n11643"/>
      <w:bookmarkEnd w:id="10"/>
      <w:bookmarkEnd w:id="11"/>
      <w:r w:rsidRPr="00D94F80">
        <w:rPr>
          <w:sz w:val="28"/>
          <w:szCs w:val="28"/>
        </w:rPr>
        <w:t>Особливості провадження у справах щодо оскарження рішень, дій або бездіяльності органів виконавчої влади, органів місцевого самоврядування, засобів масової інформації, інформаційних агентств, підприємств, установ, організацій, їхніх посадових та службових осіб, творчих працівників засобів масової інформації та інформаційних агентств, які порушують законодавство про вибори та референдум</w:t>
      </w:r>
    </w:p>
    <w:p w:rsidR="00A14636" w:rsidRPr="00D94F80" w:rsidRDefault="00A14636" w:rsidP="00A14636">
      <w:pPr>
        <w:pStyle w:val="a3"/>
        <w:numPr>
          <w:ilvl w:val="0"/>
          <w:numId w:val="1"/>
        </w:numPr>
        <w:jc w:val="both"/>
        <w:rPr>
          <w:sz w:val="28"/>
          <w:szCs w:val="28"/>
        </w:rPr>
      </w:pPr>
      <w:bookmarkStart w:id="12" w:name="n11644"/>
      <w:bookmarkStart w:id="13" w:name="n11650"/>
      <w:bookmarkEnd w:id="12"/>
      <w:bookmarkEnd w:id="13"/>
      <w:r w:rsidRPr="00D94F80">
        <w:rPr>
          <w:sz w:val="28"/>
          <w:szCs w:val="28"/>
        </w:rPr>
        <w:t>Особливості провадження у справах щодо оскарження дій або бездіяльності кандидатів, їхніх довірених осіб, політичної партії (блоку), місцевої організації політичної партії, їх посадових осіб та уповноважених осіб, офіційних спостерігачів від суб’єктів виборчого процесу, ініціативної групи референдуму, члена ініціативної групи, політичної партії, громадської організації - суб’єктів процесу референдуму, їх уповноважених осіб, офіційного спостерігача - суб’єкта процесу референдуму</w:t>
      </w:r>
    </w:p>
    <w:p w:rsidR="00A14636" w:rsidRPr="00D94F80" w:rsidRDefault="00A14636" w:rsidP="00A14636">
      <w:pPr>
        <w:pStyle w:val="a3"/>
        <w:numPr>
          <w:ilvl w:val="0"/>
          <w:numId w:val="1"/>
        </w:numPr>
        <w:jc w:val="both"/>
        <w:rPr>
          <w:sz w:val="28"/>
          <w:szCs w:val="28"/>
        </w:rPr>
      </w:pPr>
      <w:bookmarkStart w:id="14" w:name="n12948"/>
      <w:bookmarkStart w:id="15" w:name="n11659"/>
      <w:bookmarkEnd w:id="14"/>
      <w:bookmarkEnd w:id="15"/>
      <w:r w:rsidRPr="00D94F80">
        <w:rPr>
          <w:sz w:val="28"/>
          <w:szCs w:val="28"/>
        </w:rPr>
        <w:t>Особливості провадження у справах, пов’язаних із виборами Президента України</w:t>
      </w:r>
    </w:p>
    <w:p w:rsidR="00A14636" w:rsidRPr="00D94F80" w:rsidRDefault="00A14636" w:rsidP="00A14636">
      <w:pPr>
        <w:pStyle w:val="a3"/>
        <w:numPr>
          <w:ilvl w:val="0"/>
          <w:numId w:val="1"/>
        </w:numPr>
        <w:jc w:val="both"/>
        <w:rPr>
          <w:sz w:val="28"/>
          <w:szCs w:val="28"/>
        </w:rPr>
      </w:pPr>
      <w:bookmarkStart w:id="16" w:name="n11660"/>
      <w:bookmarkStart w:id="17" w:name="n11671"/>
      <w:bookmarkEnd w:id="16"/>
      <w:bookmarkEnd w:id="17"/>
      <w:r w:rsidRPr="00D94F80">
        <w:rPr>
          <w:sz w:val="28"/>
          <w:szCs w:val="28"/>
        </w:rPr>
        <w:t>Особливості судових рішень за наслідками розгляду справ, пов’язаних з виборчим процесом чи референдумом, та їх оскарження</w:t>
      </w:r>
    </w:p>
    <w:p w:rsidR="00A14636" w:rsidRPr="00D94F80" w:rsidRDefault="00A14636" w:rsidP="00A14636">
      <w:pPr>
        <w:pStyle w:val="a3"/>
        <w:numPr>
          <w:ilvl w:val="0"/>
          <w:numId w:val="1"/>
        </w:numPr>
        <w:jc w:val="both"/>
        <w:rPr>
          <w:sz w:val="28"/>
          <w:szCs w:val="28"/>
        </w:rPr>
      </w:pPr>
      <w:bookmarkStart w:id="18" w:name="n11672"/>
      <w:bookmarkStart w:id="19" w:name="n11676"/>
      <w:bookmarkEnd w:id="18"/>
      <w:bookmarkEnd w:id="19"/>
      <w:r w:rsidRPr="00D94F80">
        <w:rPr>
          <w:sz w:val="28"/>
          <w:szCs w:val="28"/>
        </w:rPr>
        <w:t>Особливості здійснення представництва у справах, пов’язаних з виборчим процесом чи процесом референдуму</w:t>
      </w:r>
    </w:p>
    <w:p w:rsidR="00A14636" w:rsidRPr="00D94F80" w:rsidRDefault="00A14636" w:rsidP="00A14636">
      <w:pPr>
        <w:pStyle w:val="a3"/>
        <w:numPr>
          <w:ilvl w:val="0"/>
          <w:numId w:val="1"/>
        </w:numPr>
        <w:jc w:val="both"/>
        <w:rPr>
          <w:sz w:val="28"/>
          <w:szCs w:val="28"/>
        </w:rPr>
      </w:pPr>
      <w:bookmarkStart w:id="20" w:name="n11677"/>
      <w:bookmarkStart w:id="21" w:name="n11680"/>
      <w:bookmarkEnd w:id="20"/>
      <w:bookmarkEnd w:id="21"/>
      <w:r w:rsidRPr="00D94F80">
        <w:rPr>
          <w:sz w:val="28"/>
          <w:szCs w:val="28"/>
        </w:rPr>
        <w:t>Особливості провадження у справах за адміністративними позовами органів виконавчої влади, органів місцевого самоврядування про встановлення обмеження щодо реалізації права на свободу мирних зібрань</w:t>
      </w:r>
    </w:p>
    <w:p w:rsidR="00A14636" w:rsidRPr="00D94F80" w:rsidRDefault="00A14636" w:rsidP="00A14636">
      <w:pPr>
        <w:pStyle w:val="a3"/>
        <w:numPr>
          <w:ilvl w:val="0"/>
          <w:numId w:val="1"/>
        </w:numPr>
        <w:jc w:val="both"/>
        <w:rPr>
          <w:sz w:val="28"/>
          <w:szCs w:val="28"/>
        </w:rPr>
      </w:pPr>
      <w:bookmarkStart w:id="22" w:name="n11681"/>
      <w:bookmarkStart w:id="23" w:name="n11697"/>
      <w:bookmarkEnd w:id="22"/>
      <w:bookmarkEnd w:id="23"/>
      <w:r w:rsidRPr="00D94F80">
        <w:rPr>
          <w:sz w:val="28"/>
          <w:szCs w:val="28"/>
        </w:rPr>
        <w:t>Особливості провадження у справах за адміністративними позовами про усунення перешкод та заборону втручання у здійснення права на свободу мирних зібрань</w:t>
      </w:r>
    </w:p>
    <w:p w:rsidR="00A14636" w:rsidRPr="00D94F80" w:rsidRDefault="00A14636" w:rsidP="00A14636">
      <w:pPr>
        <w:pStyle w:val="a3"/>
        <w:numPr>
          <w:ilvl w:val="0"/>
          <w:numId w:val="1"/>
        </w:numPr>
        <w:jc w:val="both"/>
        <w:rPr>
          <w:sz w:val="28"/>
          <w:szCs w:val="28"/>
        </w:rPr>
      </w:pPr>
      <w:bookmarkStart w:id="24" w:name="n11698"/>
      <w:bookmarkStart w:id="25" w:name="n11705"/>
      <w:bookmarkEnd w:id="24"/>
      <w:bookmarkEnd w:id="25"/>
      <w:r w:rsidRPr="00D94F80">
        <w:rPr>
          <w:sz w:val="28"/>
          <w:szCs w:val="28"/>
        </w:rPr>
        <w:t>Особливості провадження у справах щодо гарантованого забезпечення потреб оборони</w:t>
      </w:r>
    </w:p>
    <w:p w:rsidR="00A14636" w:rsidRPr="00D94F80" w:rsidRDefault="00A14636" w:rsidP="00A14636">
      <w:pPr>
        <w:pStyle w:val="a3"/>
        <w:numPr>
          <w:ilvl w:val="0"/>
          <w:numId w:val="1"/>
        </w:numPr>
        <w:jc w:val="both"/>
        <w:rPr>
          <w:sz w:val="28"/>
          <w:szCs w:val="28"/>
        </w:rPr>
      </w:pPr>
      <w:bookmarkStart w:id="26" w:name="n11706"/>
      <w:bookmarkStart w:id="27" w:name="n11711"/>
      <w:bookmarkEnd w:id="26"/>
      <w:bookmarkEnd w:id="27"/>
      <w:r w:rsidRPr="00D94F80">
        <w:rPr>
          <w:sz w:val="28"/>
          <w:szCs w:val="28"/>
        </w:rPr>
        <w:lastRenderedPageBreak/>
        <w:t>Особливості провадження у справах за зверненням податкових та митних органів</w:t>
      </w:r>
    </w:p>
    <w:p w:rsidR="00A14636" w:rsidRPr="00D94F80" w:rsidRDefault="00A14636" w:rsidP="00A14636">
      <w:pPr>
        <w:pStyle w:val="a3"/>
        <w:numPr>
          <w:ilvl w:val="0"/>
          <w:numId w:val="1"/>
        </w:numPr>
        <w:jc w:val="both"/>
        <w:rPr>
          <w:sz w:val="28"/>
          <w:szCs w:val="28"/>
        </w:rPr>
      </w:pPr>
      <w:r w:rsidRPr="00D94F80">
        <w:rPr>
          <w:sz w:val="28"/>
          <w:szCs w:val="28"/>
        </w:rPr>
        <w:t>Особливості провадження у справах про застосування санкцій</w:t>
      </w:r>
    </w:p>
    <w:p w:rsidR="00A14636" w:rsidRPr="00D94F80" w:rsidRDefault="00A14636" w:rsidP="00A14636">
      <w:pPr>
        <w:pStyle w:val="a3"/>
        <w:numPr>
          <w:ilvl w:val="0"/>
          <w:numId w:val="1"/>
        </w:numPr>
        <w:jc w:val="both"/>
        <w:rPr>
          <w:sz w:val="28"/>
          <w:szCs w:val="28"/>
        </w:rPr>
      </w:pPr>
      <w:bookmarkStart w:id="28" w:name="n13052"/>
      <w:bookmarkStart w:id="29" w:name="n11745"/>
      <w:bookmarkEnd w:id="28"/>
      <w:bookmarkEnd w:id="29"/>
      <w:r w:rsidRPr="00D94F80">
        <w:rPr>
          <w:sz w:val="28"/>
          <w:szCs w:val="28"/>
        </w:rPr>
        <w:t>Особливості провадження у справах за зверненням Служби безпеки України щодо включення фізичних осіб, юридичних осіб та організацій до переліку осіб, пов’язаних з провадженням терористичної діяльності або стосовно яких застосовано міжнародні санкції, виключення фізичних осіб, юридичних осіб та організацій з такого переліку та надання доступу до активів, що пов’язані з тероризмом та його фінансуванням, розповсюдженням зброї масового знищення та його фінансуванням</w:t>
      </w:r>
    </w:p>
    <w:p w:rsidR="00A14636" w:rsidRPr="00D94F80" w:rsidRDefault="00A14636" w:rsidP="00A14636">
      <w:pPr>
        <w:pStyle w:val="a3"/>
        <w:numPr>
          <w:ilvl w:val="0"/>
          <w:numId w:val="1"/>
        </w:numPr>
        <w:jc w:val="both"/>
        <w:rPr>
          <w:sz w:val="28"/>
          <w:szCs w:val="28"/>
        </w:rPr>
      </w:pPr>
      <w:bookmarkStart w:id="30" w:name="n11746"/>
      <w:bookmarkStart w:id="31" w:name="n11766"/>
      <w:bookmarkEnd w:id="30"/>
      <w:bookmarkEnd w:id="31"/>
      <w:r w:rsidRPr="00D94F80">
        <w:rPr>
          <w:sz w:val="28"/>
          <w:szCs w:val="28"/>
        </w:rPr>
        <w:t>Особливості провадження у справах про дострокове припинення повноважень народного депутата України в разі невиконання ним вимог щодо несумісності</w:t>
      </w:r>
    </w:p>
    <w:p w:rsidR="00A14636" w:rsidRPr="00D94F80" w:rsidRDefault="00A14636" w:rsidP="00A14636">
      <w:pPr>
        <w:pStyle w:val="a3"/>
        <w:numPr>
          <w:ilvl w:val="0"/>
          <w:numId w:val="1"/>
        </w:numPr>
        <w:jc w:val="both"/>
        <w:rPr>
          <w:sz w:val="28"/>
          <w:szCs w:val="28"/>
        </w:rPr>
      </w:pPr>
      <w:bookmarkStart w:id="32" w:name="n11767"/>
      <w:bookmarkStart w:id="33" w:name="n11772"/>
      <w:bookmarkEnd w:id="32"/>
      <w:bookmarkEnd w:id="33"/>
      <w:r w:rsidRPr="00D94F80">
        <w:rPr>
          <w:sz w:val="28"/>
          <w:szCs w:val="28"/>
        </w:rPr>
        <w:t>Особливості провадження у справах з приводу рішень, дій чи бездіяльності суб’єктів владних повноважень щодо притягнення до адміністративної відповідальності</w:t>
      </w:r>
    </w:p>
    <w:p w:rsidR="00A14636" w:rsidRPr="00D94F80" w:rsidRDefault="00A14636" w:rsidP="00A14636">
      <w:pPr>
        <w:pStyle w:val="a3"/>
        <w:numPr>
          <w:ilvl w:val="0"/>
          <w:numId w:val="1"/>
        </w:numPr>
        <w:jc w:val="both"/>
        <w:rPr>
          <w:sz w:val="28"/>
          <w:szCs w:val="28"/>
        </w:rPr>
      </w:pPr>
      <w:bookmarkStart w:id="34" w:name="n11773"/>
      <w:bookmarkEnd w:id="34"/>
      <w:r w:rsidRPr="00D94F80">
        <w:rPr>
          <w:sz w:val="28"/>
          <w:szCs w:val="28"/>
        </w:rPr>
        <w:t>Особливості провадження у справах з приводу рішень, дій або бездіяльності органу державної виконавчої служби, приватного виконавця</w:t>
      </w:r>
    </w:p>
    <w:p w:rsidR="00A14636" w:rsidRPr="00D94F80" w:rsidRDefault="00A14636" w:rsidP="00A14636">
      <w:pPr>
        <w:pStyle w:val="a3"/>
        <w:numPr>
          <w:ilvl w:val="0"/>
          <w:numId w:val="1"/>
        </w:numPr>
        <w:jc w:val="both"/>
        <w:rPr>
          <w:sz w:val="28"/>
          <w:szCs w:val="28"/>
        </w:rPr>
      </w:pPr>
      <w:bookmarkStart w:id="35" w:name="n11784"/>
      <w:bookmarkStart w:id="36" w:name="n11793"/>
      <w:bookmarkEnd w:id="35"/>
      <w:bookmarkEnd w:id="36"/>
      <w:r w:rsidRPr="00D94F80">
        <w:rPr>
          <w:sz w:val="28"/>
          <w:szCs w:val="28"/>
        </w:rPr>
        <w:t>Особливості провадження у справах за адміністративними позовами з приводу примусового повернення чи примусового видворення іноземців або осіб без громадянства за межі території України</w:t>
      </w:r>
    </w:p>
    <w:p w:rsidR="00A14636" w:rsidRPr="00D94F80" w:rsidRDefault="00A14636" w:rsidP="00A14636">
      <w:pPr>
        <w:pStyle w:val="a3"/>
        <w:numPr>
          <w:ilvl w:val="0"/>
          <w:numId w:val="1"/>
        </w:numPr>
        <w:jc w:val="both"/>
        <w:rPr>
          <w:sz w:val="28"/>
          <w:szCs w:val="28"/>
        </w:rPr>
      </w:pPr>
      <w:bookmarkStart w:id="37" w:name="n11794"/>
      <w:bookmarkStart w:id="38" w:name="n11799"/>
      <w:bookmarkEnd w:id="37"/>
      <w:bookmarkEnd w:id="38"/>
      <w:r w:rsidRPr="00D94F80">
        <w:rPr>
          <w:sz w:val="28"/>
          <w:szCs w:val="28"/>
        </w:rPr>
        <w:t>Особливості провадження у справах за адміністративними позовами з приводу затримання іноземців або осіб без громадянства</w:t>
      </w:r>
    </w:p>
    <w:p w:rsidR="00A14636" w:rsidRPr="00D94F80" w:rsidRDefault="00A14636" w:rsidP="00A14636">
      <w:pPr>
        <w:pStyle w:val="a3"/>
        <w:numPr>
          <w:ilvl w:val="0"/>
          <w:numId w:val="1"/>
        </w:numPr>
        <w:jc w:val="both"/>
        <w:rPr>
          <w:sz w:val="28"/>
          <w:szCs w:val="28"/>
        </w:rPr>
      </w:pPr>
      <w:r w:rsidRPr="00D94F80">
        <w:rPr>
          <w:sz w:val="28"/>
          <w:szCs w:val="28"/>
        </w:rPr>
        <w:t>Особливості провадження у справах за адміністративними позовами про оскарження рішень центрального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про продовження зупинення відповідних (відповідної) фінансових (фінансової) операцій (операції) (видаткових фінансових операцій)</w:t>
      </w:r>
    </w:p>
    <w:p w:rsidR="00A14636" w:rsidRPr="00D94F80" w:rsidRDefault="00A14636" w:rsidP="00A14636">
      <w:pPr>
        <w:pStyle w:val="a3"/>
        <w:numPr>
          <w:ilvl w:val="0"/>
          <w:numId w:val="1"/>
        </w:numPr>
        <w:jc w:val="both"/>
        <w:rPr>
          <w:sz w:val="28"/>
          <w:szCs w:val="28"/>
        </w:rPr>
      </w:pPr>
      <w:bookmarkStart w:id="39" w:name="n12765"/>
      <w:bookmarkEnd w:id="39"/>
      <w:r w:rsidRPr="00D94F80">
        <w:rPr>
          <w:sz w:val="28"/>
          <w:szCs w:val="28"/>
        </w:rPr>
        <w:t>Особливості провадження у справах за адміністративними позовами з приводу тимчасового обмеження права громадян України на виїзд за межі території України</w:t>
      </w:r>
    </w:p>
    <w:p w:rsidR="00A14636" w:rsidRPr="00D94F80" w:rsidRDefault="00A14636" w:rsidP="00A14636">
      <w:pPr>
        <w:pStyle w:val="a3"/>
        <w:numPr>
          <w:ilvl w:val="0"/>
          <w:numId w:val="1"/>
        </w:numPr>
        <w:jc w:val="both"/>
        <w:rPr>
          <w:sz w:val="28"/>
          <w:szCs w:val="28"/>
        </w:rPr>
      </w:pPr>
      <w:bookmarkStart w:id="40" w:name="n13003"/>
      <w:bookmarkEnd w:id="40"/>
      <w:r w:rsidRPr="00D94F80">
        <w:rPr>
          <w:sz w:val="28"/>
          <w:szCs w:val="28"/>
        </w:rPr>
        <w:t>Особливості провадження у справах за адміністративними позовами про заборону політичної партії</w:t>
      </w:r>
    </w:p>
    <w:p w:rsidR="00A14636" w:rsidRPr="00D94F80" w:rsidRDefault="00A14636" w:rsidP="00A14636">
      <w:pPr>
        <w:pStyle w:val="a3"/>
        <w:numPr>
          <w:ilvl w:val="0"/>
          <w:numId w:val="1"/>
        </w:numPr>
        <w:jc w:val="both"/>
        <w:rPr>
          <w:sz w:val="28"/>
          <w:szCs w:val="28"/>
          <w:shd w:val="clear" w:color="auto" w:fill="FFFFFF"/>
        </w:rPr>
      </w:pPr>
      <w:r w:rsidRPr="00D94F80">
        <w:rPr>
          <w:sz w:val="28"/>
          <w:szCs w:val="28"/>
          <w:shd w:val="clear" w:color="auto" w:fill="FFFFFF"/>
        </w:rPr>
        <w:t>Особливості провадження у зразковій справі</w:t>
      </w:r>
    </w:p>
    <w:p w:rsidR="00A14636" w:rsidRPr="00D94F80" w:rsidRDefault="00A14636" w:rsidP="00A14636">
      <w:pPr>
        <w:pStyle w:val="a3"/>
        <w:numPr>
          <w:ilvl w:val="0"/>
          <w:numId w:val="1"/>
        </w:numPr>
        <w:jc w:val="both"/>
        <w:rPr>
          <w:sz w:val="28"/>
          <w:szCs w:val="28"/>
        </w:rPr>
      </w:pPr>
      <w:r w:rsidRPr="00D94F80">
        <w:rPr>
          <w:sz w:val="28"/>
          <w:szCs w:val="28"/>
          <w:shd w:val="clear" w:color="auto" w:fill="FFFFFF"/>
        </w:rPr>
        <w:t>Особливості провадження у типовій справі</w:t>
      </w:r>
    </w:p>
    <w:p w:rsidR="00750B3F" w:rsidRDefault="00750B3F">
      <w:bookmarkStart w:id="41" w:name="_GoBack"/>
      <w:bookmarkEnd w:id="41"/>
    </w:p>
    <w:sectPr w:rsidR="00750B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917AB4"/>
    <w:multiLevelType w:val="hybridMultilevel"/>
    <w:tmpl w:val="2CBEE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636"/>
    <w:rsid w:val="00750B3F"/>
    <w:rsid w:val="00A14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9D799-1B67-46EB-B0F8-74A63F7D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4636"/>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4636"/>
    <w:pPr>
      <w:spacing w:after="0" w:line="240" w:lineRule="auto"/>
    </w:pPr>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2022-08-27T15:55:00Z</dcterms:created>
  <dcterms:modified xsi:type="dcterms:W3CDTF">2022-08-27T15:55:00Z</dcterms:modified>
</cp:coreProperties>
</file>