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FD50" w14:textId="77777777" w:rsidR="00685810" w:rsidRDefault="00685810" w:rsidP="00685810">
      <w:pPr>
        <w:pStyle w:val="a3"/>
        <w:shd w:val="clear" w:color="auto" w:fill="FFFFFF"/>
        <w:spacing w:before="0" w:beforeAutospacing="0"/>
        <w:jc w:val="center"/>
        <w:rPr>
          <w:rFonts w:ascii="Open Sans" w:hAnsi="Open Sans" w:cs="Open Sans"/>
          <w:color w:val="333333"/>
          <w:sz w:val="22"/>
          <w:szCs w:val="22"/>
        </w:rPr>
      </w:pPr>
      <w:r>
        <w:rPr>
          <w:b/>
          <w:bCs/>
          <w:color w:val="333333"/>
        </w:rPr>
        <w:t>ЛЕКЦІЯ 7. ЕКОЛОГІЧНА МЕРЕЖА</w:t>
      </w:r>
    </w:p>
    <w:p w14:paraId="5AFFB7A8" w14:textId="77777777" w:rsidR="00685810" w:rsidRDefault="00685810" w:rsidP="00685810">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1F35A0D1" w14:textId="77777777" w:rsidR="00685810" w:rsidRDefault="00685810" w:rsidP="00685810">
      <w:pPr>
        <w:pStyle w:val="a3"/>
        <w:shd w:val="clear" w:color="auto" w:fill="FFFFFF"/>
        <w:spacing w:before="0" w:beforeAutospacing="0"/>
        <w:jc w:val="center"/>
        <w:rPr>
          <w:rFonts w:ascii="Open Sans" w:hAnsi="Open Sans" w:cs="Open Sans"/>
          <w:color w:val="333333"/>
          <w:sz w:val="22"/>
          <w:szCs w:val="22"/>
        </w:rPr>
      </w:pPr>
      <w:r>
        <w:rPr>
          <w:b/>
          <w:bCs/>
          <w:color w:val="333333"/>
        </w:rPr>
        <w:t>1.  Поняття екомережі</w:t>
      </w:r>
    </w:p>
    <w:p w14:paraId="67674445"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w:t>
      </w:r>
    </w:p>
    <w:p w14:paraId="7FB2FCCE"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Ідею Європейської екомережі вперше було запропоновано Нідерландами у 1993 році на конференції в Маастріхті. У 1995 р. Міністрами довкілля країн Європи була схвалена Всеєвропейська стратегія збереження біологічного та ландшафтного різноманіття, базовим напрямом реалізації якої стало створення Всеєвропейської екомережі.  Ця  мережа має об’єднати існуючі осередки природного різноманіття європейського значення в єдину територіальну систему, що простягається від Уралу до Піренейського півострова.</w:t>
      </w:r>
    </w:p>
    <w:p w14:paraId="109960B4"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Екомережа є комплексною багатофункціональною природною системою, основними функціями якої є збереження біорізноманіття, стабілізація екологічної рівноваги, підвищення продуктивності ландшафтів, покращення стану довкілля, забезпечення збалансованого сталого розвитку держави [1].</w:t>
      </w:r>
    </w:p>
    <w:p w14:paraId="671F8239"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Основними </w:t>
      </w:r>
      <w:hyperlink r:id="rId4" w:tooltip="Завдання" w:history="1">
        <w:r>
          <w:rPr>
            <w:rStyle w:val="a4"/>
            <w:color w:val="51666C"/>
          </w:rPr>
          <w:t>завдання</w:t>
        </w:r>
      </w:hyperlink>
      <w:r>
        <w:rPr>
          <w:color w:val="333333"/>
        </w:rPr>
        <w:t>ми екологічної мережі, які сформульовані у Всеєвропейській стратегії збереження біологічного та ландшафтного різноманіття, є: 1) збереження різноманіття, а також ландшафтів європейського значення; 2) забезпечення достатнім простором ландшафтів європейського значення; 3) створення необхідних умов для розселення і міграції видів; 4) забезпечення відновлення компонентів ключових екосистем, які зазнали руйнації; 5) захист систем від потенційних негативних факторів.  У відповідності до Всеєвропейської стратегії базовими елементами Всеєвропейської екомережі є (рис. 1) [1]:</w:t>
      </w:r>
    </w:p>
    <w:p w14:paraId="3ED3C4AF"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а) природні ядра для збереження екосистем, середовищ існування, видів і ландшафтів  –  це природно-заповідні території та об’єкти (заповідники, національні парки, заказники), а також водно-болотні угіддя міжнародного значення;</w:t>
      </w:r>
    </w:p>
    <w:p w14:paraId="5D2D50B4"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б) екологічні коридори  –  ділянки, що забезпечують взаємозв’язки між ядрами та цілісність екомережі  –  можуть бути прибережні смуги та інші території. Вони забезпечують: 1) підтримання процесів розмноження з метою збереження популяцій; 2) поширення популяцій в їх природних ареалах; 3) розширення межі природних ареалів популяцій (де  раніше вони не зустрічались); 4) міграційні і сезонні переміщення; 5) вихід за природну межу поширення, зокрема для пошуку їжі; в) буферні зони – території, які оточують зовні природні ядра і захищають їх від зовнішніх впливів, є перехідними смугами між природними територіями і територіями господарського використання  –  можуть бути водоохоронні території. Буферні зони створюються: 1) для підтримки направленого управління захищеною територією; 2) з метою послаблення впливу; 3) для уникнення загроз; г) відновлювальні райони, де є потреба у відновленні порушених елементів екосистем, середовищ існування і ландшафтів або повне відновлення деяких</w:t>
      </w:r>
    </w:p>
    <w:p w14:paraId="2E7DEF25"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районів. Це території з проявами негативних процесів (ерозія, зсуви), осушені торфовища, вибиті луки, зріджені ліси тощо. Після проведення відповідних заходів відновлювана територія може бути включена до складу природних ядер чи екокоридорів.</w:t>
      </w:r>
    </w:p>
    <w:p w14:paraId="304C2B8B"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w:t>
      </w:r>
    </w:p>
    <w:p w14:paraId="752F49D0"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lastRenderedPageBreak/>
        <w:t> </w:t>
      </w:r>
    </w:p>
    <w:p w14:paraId="322F93FE"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До структурних елементів екомережі включаються [6]: </w:t>
      </w:r>
    </w:p>
    <w:p w14:paraId="664D529C"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території ПЗФ;</w:t>
      </w:r>
    </w:p>
    <w:p w14:paraId="3F67149F"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землі водного, лісового фонду;</w:t>
      </w:r>
    </w:p>
    <w:p w14:paraId="708EEB74"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водно-болотні угіддя;</w:t>
      </w:r>
    </w:p>
    <w:p w14:paraId="35EBBD39"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землі рекреаційного і оздоровчого призначення;</w:t>
      </w:r>
    </w:p>
    <w:p w14:paraId="2FC705C1"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радіоактивно забруднені землі;</w:t>
      </w:r>
    </w:p>
    <w:p w14:paraId="013492FC"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пасовища, сіножаті та ін. </w:t>
      </w:r>
    </w:p>
    <w:p w14:paraId="58F7872A"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Причому до природних осередків Всеєвропейської екомережі відносяться лише ті природні території, що відповідають критеріям міжнародних (світового, європейського та регіонального рівнів) конвенцій та угод і визнані ними.</w:t>
      </w:r>
    </w:p>
    <w:p w14:paraId="2B094A40"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У створенні національних екомереж, як не дивно, лідерами є не західноєвропейські країни, а центральноєвропейські  – Чехія та Словаччина, в яких концепція екомережі була сформована ще в колишній Чехословаччині у 80-і роки під назвою Територіальної системи екологічної стабільності.</w:t>
      </w:r>
    </w:p>
    <w:p w14:paraId="1E723F16"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w:t>
      </w:r>
    </w:p>
    <w:p w14:paraId="1FEAED8F" w14:textId="77777777" w:rsidR="00685810" w:rsidRDefault="00685810" w:rsidP="00685810">
      <w:pPr>
        <w:pStyle w:val="a3"/>
        <w:shd w:val="clear" w:color="auto" w:fill="FFFFFF"/>
        <w:spacing w:before="0" w:beforeAutospacing="0"/>
        <w:jc w:val="center"/>
        <w:rPr>
          <w:rFonts w:ascii="Open Sans" w:hAnsi="Open Sans" w:cs="Open Sans"/>
          <w:color w:val="333333"/>
          <w:sz w:val="22"/>
          <w:szCs w:val="22"/>
        </w:rPr>
      </w:pPr>
      <w:r>
        <w:rPr>
          <w:b/>
          <w:bCs/>
          <w:color w:val="333333"/>
        </w:rPr>
        <w:t>2. Національна екомережа України</w:t>
      </w:r>
    </w:p>
    <w:p w14:paraId="12A85421"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w:t>
      </w:r>
    </w:p>
    <w:p w14:paraId="5EB02CE9"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Національна екомережа України створюється на виконання Закону України «Про Загальнодержавну програму формування національної екологічної мережі України на 2000-2015 рр.»</w:t>
      </w:r>
    </w:p>
    <w:p w14:paraId="27B7C5F5"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В Україні природними ядрами найвищого  ґатунку є природні заповідники, заповідні зони національних природних парків і біосферних заповідників, а охоронні зони навколо природних заповідників, рекреаційні зони в національних природних парках та буферні зони в біосферних заповідниках (резерватах) є за свою суттю буферними зонами. Функцію екокоридорів у</w:t>
      </w:r>
    </w:p>
    <w:p w14:paraId="5031FD47"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національних природних парках і біосферних заповідниках виконують видовжені природні елементи: річки та захисні лісові смуги, гористі смуги та яруги тощо відповідно у господарській зоні та зоні антропогенних ландшафтів. </w:t>
      </w:r>
    </w:p>
    <w:p w14:paraId="28CE6C41"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В екомережі України функції її природних осередків будуть виконувати природно-заповідні об’єкти, які мають статус загальнодержавного значення, а також ті, які отримують міжнародне визнання. Природно-заповідні об’єкти місцевого значення мають виконувати функції природних осередків екомережі місцевого рівня, а на вищих рівнях вони розглядатимуться лише як екокоридори.</w:t>
      </w:r>
    </w:p>
    <w:p w14:paraId="121BBCD4"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lastRenderedPageBreak/>
        <w:t>    До основних природних регіонів екомережі через їх збереженість і можливості  відновлення належать: Карпатська гірська країна, Передкарпаття, Кримська гірська країна, Західне Полісся, Придніпровське Полісся, Східне Полісся, Подільська височина, Донецький кряж і Приазовська височина. Значну роль у національній екомережі мають відігравати розгалужені річкові мережі Дніпра, Дністра, Південного Бугу, Західного Бугу та Сіверського Донця, українське узбережжя Азовського та Чорного морів.</w:t>
      </w:r>
    </w:p>
    <w:p w14:paraId="4D27C1DE"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У рамках виконання програми має  бути створено 29 національних природних парків, 7 біосферних заповідників, розширено межі трьох природних та трьох біосферних заповідників, п’яти національних природних парків. Загалом площа природно-заповідного фонду України має розширитися більш ніж вдвічі і досягти 10 % від площі держави [10].</w:t>
      </w:r>
    </w:p>
    <w:p w14:paraId="09454BFA"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Для повного охоплення усіх природних ділянок, які збереглися, в єдиній просторовій системі національної екомережі і доведення загальної площі територій ПЗФ до 10 % площі країни є необхідним створення регіональних екологічних мереж (РЕМ),  головне призначення яких  –  заповнити фізичний простір між каркасними ядрами і магістральними лініями національної екомережі шляхом об’єднання природних, напівприродних і окультурених ландшафтів у загальну просторову екологічну мережу кожного регіону.</w:t>
      </w:r>
    </w:p>
    <w:p w14:paraId="42805FA1"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Причому просторова структура РЕМ повинна бути подібною до такої національної екомережі, тобто мати свої регіональні каркасні елементи –  ядра та природні коридори  –  представлені головним чином об’єктами ПЗФ регіонального значення і природними територіями, які мають менше значення з природоохоронної точки зору або є незначними за площею.</w:t>
      </w:r>
    </w:p>
    <w:p w14:paraId="51E18AF7"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Однією з основних проблем формування національної екологічної мережі України є велика фрагментація природних ділянок на більшій частині її території  і суттєва диспропорція в розподілі заповідних територій в різних регіонах країни. </w:t>
      </w:r>
    </w:p>
    <w:p w14:paraId="549CF9A6"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Роботи в напрямку формування Національної екомережі і нашої ділянки у Європейській екомережі розпочаті. Так, у спеціальному переліку визнаних на міжнародному рівні територій у розділі  «Україна», як не прикро, було заповнено тільки 6 позицій по двох категоріях: 3 біосферні заповідники (Карпатський, Чорноморський і Асканія-Нова) та 3 Рамсарські водно-болотні угіддя. Разом з тим, нещодавно Карпатський та Дунайський біосферні заповідники (останній і як частина двостороннього українсько-румунського «Дельта Дунаю»), а також українська ділянка тристороннього з Польщею та Словаччиною біосферного заповідника «Східні Карпати» отримали міжнародне визнання; Карпатський біосферний заповідник був також удостоєний Європейського диплому; Бюро Рамсарської конвенції надало  22  водно-болотним угіддям України статусу міжнародних, тобто ситуація щодо міжнародної сертифікації природоохоронних об`єктів України покращується.</w:t>
      </w:r>
    </w:p>
    <w:p w14:paraId="25223FEE"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w:t>
      </w:r>
    </w:p>
    <w:p w14:paraId="2DFB5325" w14:textId="77777777" w:rsidR="00685810" w:rsidRDefault="00685810" w:rsidP="00685810">
      <w:pPr>
        <w:pStyle w:val="a3"/>
        <w:shd w:val="clear" w:color="auto" w:fill="FFFFFF"/>
        <w:spacing w:before="0" w:beforeAutospacing="0"/>
        <w:jc w:val="center"/>
        <w:rPr>
          <w:rFonts w:ascii="Open Sans" w:hAnsi="Open Sans" w:cs="Open Sans"/>
          <w:color w:val="333333"/>
          <w:sz w:val="22"/>
          <w:szCs w:val="22"/>
        </w:rPr>
      </w:pPr>
      <w:r>
        <w:rPr>
          <w:b/>
          <w:bCs/>
          <w:color w:val="333333"/>
        </w:rPr>
        <w:t>3.  Міждержавні заповідні території як елемент екомережі</w:t>
      </w:r>
    </w:p>
    <w:p w14:paraId="1DB18970"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xml:space="preserve">    Нині в світі існує близько 160 міждержавних природно-заповідних територій,  із них більше половини  –  в країнах Європи. При створенні міждержавних заповідних територій зростає площа територій із заповідним режимом, послаблюється  так званий «острівний ефект»  відокремлених природно-заповідних територій, потрапляють під охорону більші, отже, і більш життєздатні популяції, створюються умови для міграції тварин.  Ці території є тими «вузлами», які з’єднують між собою екологічні мережі різних країн. Вони у </w:t>
      </w:r>
      <w:r>
        <w:rPr>
          <w:color w:val="333333"/>
        </w:rPr>
        <w:lastRenderedPageBreak/>
        <w:t>Всеєвропейській екомережі виконують одночасно роль центрів та екокоридорів. На Заході на кордоні з Польщею, Словаччиною та Румунією розташована</w:t>
      </w:r>
    </w:p>
    <w:p w14:paraId="3EF23CBE"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Карпатська гірська система, на кордоні з Польщею знаходяться Розточчя та Західне Полісся з  оригінальними лісовими і болотними ландшафтами. На півночі лісові ландшафти України межують із лісовими масивами Білорусії та Росії. У пониззі Дністра на прикордонній території з Молдовою збереглися цінні у науково-природничому відношенні транскордонні ландшафти варті спільної охорони. В Україні беруть початок такі водні артерії міждержавного значення як Уж, Латориця, Тиса, Західний Буг, Дністер, через її територію протікає Дніпро, що бере початок у Росії і протікає через Білорусь. У басейнах цих річок є також ряд спільних екологічних проблем. Так, наприклад, екологічні наслідки повеней на річках Латориці і Ужа стають відчутними у прикордонній зоні Словаччини, а в басейні Тиси  –  в Угорщині. Забруднення Західного Бугу, притоки Вісли, несприятливо впливає на її санітарний стан.</w:t>
      </w:r>
    </w:p>
    <w:p w14:paraId="6E11218F"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Нині в Україні вже створено декілька міждержавних природно-заповідних  територій,  які  є  біосферними  резерватами.  Перший  з них був створений в Карпатах у 1999 р.  –  Національний природний парк  «Ужанський»  та Надсянський регіональний  ландшафтний парк увійшли до складу першого у Центральній Європі трилатерального українсько-польсько-словацького біосферного резервату  «Східні Карпати». В рівнинній частині України створений Дунайський біосферний заповідник, який входить до складу міждержавного українсько-румунського біосферного резервату  «Дельта Дунаю» (2000р.). В 2002 р. був затверджений ЮНЕСКО українсько-польський біосферний резерват «Західне Полісся»  (завершується підготовка матеріалів), до якого увійшли з українського боку Шацький національний природний парк, а з польського  – Поліський національний парк та три прилеглих регіональних ландшафтних парки [10].</w:t>
      </w:r>
    </w:p>
    <w:p w14:paraId="2241514E"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t>    Загальнодержавна програма формування національної екологічної мережі на 2000-2015 роки передбачає продовження програми  «Заповідники», а саме створення в прикордонних областях таких природно-заповідних територій: біосферні резервати  – польсько-білорусько-український  «Західне Полісся»  (40 000 га, заплановано на 2000-2015 рр.), з польської сторони межуватиме з Поліським народним парком, розпочато створення з 2002 р., подано матеріали до ЮНЕСКО щодо створення біосферного резервату; Розточанський польсько-український (25000 га, заплановано на 2012-2015 р.), розпочато створення з 2002 р.; Поліський білорусько-український (50000 га, заплановано на 2004-2006 рр., було передбачене його розширення на 14 000 га у 2001-2003 рр.); російсько-український «Донецький кряж» (20 000 га, заплановано на 2012-2015 рр.); російсько-український «Старогутські та Брянські ліси» (площа і час створення не визначені), з російської сторони межуватиме із заповідником «Брянський ліс», вже розробляється відповідна документація; міждержавні природні заповідники  –  Рівненський білорусько-український (площа і час створення не визначені), Сновський російсько-український (площа і час створення не визначені), Луганський російсько-український (площа і час створення не визначені), національні природні парки – білорусько-український «Прип’ять-Стохід» (50 000 га, заплановано на 2000-2002 рр., досі не створено), російсько-український  «Меотида»  (15 000 га, заплановано на 2000-2002 рр., досі не створено), румунсько-український «Винницький»  (передбачене його розширення на 3000 га у 2001-2003 рр. не відбулося), Нижньодністровський молдово-український (площа і час створення не визначені).  Даною Програмою також передбачено розширення меж Дунайського біосферного заповідника (на 20000 га у 2003-2005 рр.), Поліського природного заповідника (на 14000 га у 2001-2003 рр., досі не розширено), а також Ужанського національного природного парку (на 10000 га у 2003-2005 рр.) [10].</w:t>
      </w:r>
    </w:p>
    <w:p w14:paraId="3ED8D59C" w14:textId="77777777" w:rsidR="00685810" w:rsidRDefault="00685810" w:rsidP="00685810">
      <w:pPr>
        <w:pStyle w:val="a3"/>
        <w:shd w:val="clear" w:color="auto" w:fill="FFFFFF"/>
        <w:spacing w:before="0" w:beforeAutospacing="0"/>
        <w:jc w:val="both"/>
        <w:rPr>
          <w:rFonts w:ascii="Open Sans" w:hAnsi="Open Sans" w:cs="Open Sans"/>
          <w:color w:val="333333"/>
          <w:sz w:val="22"/>
          <w:szCs w:val="22"/>
        </w:rPr>
      </w:pPr>
      <w:r>
        <w:rPr>
          <w:color w:val="333333"/>
        </w:rPr>
        <w:lastRenderedPageBreak/>
        <w:t>    Для створення екомережі, крім заповідників, національних природних та регіональних ландшафтних парків як базові можна розглядати і великоплощадні заказники, деякі пам’ятки природи та заповідні урочища. Такими у Вінницькій області є: Урочище  «Брянський ліс»  (ботанічний ЗДЗ) (1982) поблизу кордону з Молдовою площею 218 га; Бритавський ботанічний ЗДЗ (1990) поблизу кордону з Молдовою площею 3259 га; Червоногреблянський ботанічний ЗМЗ (1990) поблизу кордону з Молдовою площею 1492 га. </w:t>
      </w:r>
    </w:p>
    <w:p w14:paraId="03E0EF42"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0"/>
    <w:rsid w:val="00463880"/>
    <w:rsid w:val="00685810"/>
    <w:rsid w:val="00974217"/>
    <w:rsid w:val="00A70D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8CA42-31B7-4357-BD33-A691B678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81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semiHidden/>
    <w:unhideWhenUsed/>
    <w:rsid w:val="00685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uu.edu.ua/mod/assign/view.php?id=282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2022-09-01T18:10:00Z</dcterms:created>
  <dcterms:modified xsi:type="dcterms:W3CDTF">2022-09-01T18:11:00Z</dcterms:modified>
</cp:coreProperties>
</file>