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FEAB" w14:textId="77777777" w:rsidR="00CF73FE" w:rsidRPr="00920471" w:rsidRDefault="00CF73FE" w:rsidP="00CF73FE">
      <w:pPr>
        <w:spacing w:line="240" w:lineRule="auto"/>
        <w:jc w:val="center"/>
        <w:rPr>
          <w:rFonts w:ascii="Times New Roman" w:hAnsi="Times New Roman"/>
          <w:b/>
          <w:sz w:val="32"/>
          <w:szCs w:val="32"/>
        </w:rPr>
      </w:pPr>
      <w:r w:rsidRPr="00920471">
        <w:rPr>
          <w:rFonts w:ascii="Times New Roman" w:hAnsi="Times New Roman"/>
          <w:b/>
          <w:sz w:val="32"/>
          <w:szCs w:val="32"/>
        </w:rPr>
        <w:t>Розділ 8. Стратегія регіонального розвитку світового туризму</w:t>
      </w:r>
    </w:p>
    <w:p w14:paraId="0495E162" w14:textId="77777777" w:rsidR="00CF73FE" w:rsidRPr="00920471" w:rsidRDefault="00CF73FE" w:rsidP="00CF73FE">
      <w:pPr>
        <w:spacing w:line="240" w:lineRule="auto"/>
        <w:jc w:val="center"/>
        <w:rPr>
          <w:rFonts w:ascii="Times New Roman" w:hAnsi="Times New Roman"/>
          <w:b/>
          <w:sz w:val="32"/>
          <w:szCs w:val="32"/>
        </w:rPr>
      </w:pPr>
      <w:r w:rsidRPr="00920471">
        <w:rPr>
          <w:rFonts w:ascii="Times New Roman" w:hAnsi="Times New Roman"/>
          <w:b/>
          <w:sz w:val="32"/>
          <w:szCs w:val="32"/>
        </w:rPr>
        <w:t>8.1.Класифікація країн та регіонів світу</w:t>
      </w:r>
    </w:p>
    <w:p w14:paraId="04F41870"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Для розробки стратегії регіонального розвитку світового туризму попередньо потрібно вирішити два важливих завдання:</w:t>
      </w:r>
    </w:p>
    <w:p w14:paraId="235A3E21" w14:textId="77777777" w:rsidR="00CF73FE" w:rsidRDefault="00CF73FE" w:rsidP="00CF73FE">
      <w:pPr>
        <w:pStyle w:val="a3"/>
        <w:numPr>
          <w:ilvl w:val="0"/>
          <w:numId w:val="2"/>
        </w:numPr>
        <w:spacing w:after="200" w:line="240" w:lineRule="auto"/>
        <w:jc w:val="both"/>
        <w:rPr>
          <w:rFonts w:ascii="Times New Roman" w:hAnsi="Times New Roman"/>
          <w:sz w:val="28"/>
          <w:szCs w:val="32"/>
        </w:rPr>
      </w:pPr>
      <w:r>
        <w:rPr>
          <w:rFonts w:ascii="Times New Roman" w:hAnsi="Times New Roman"/>
          <w:sz w:val="28"/>
          <w:szCs w:val="32"/>
        </w:rPr>
        <w:t>Здійснити туристичне районування світу.</w:t>
      </w:r>
    </w:p>
    <w:p w14:paraId="580E4FBA" w14:textId="77777777" w:rsidR="00CF73FE" w:rsidRDefault="00CF73FE" w:rsidP="00CF73FE">
      <w:pPr>
        <w:pStyle w:val="a3"/>
        <w:numPr>
          <w:ilvl w:val="0"/>
          <w:numId w:val="2"/>
        </w:numPr>
        <w:spacing w:after="200" w:line="240" w:lineRule="auto"/>
        <w:jc w:val="both"/>
        <w:rPr>
          <w:rFonts w:ascii="Times New Roman" w:hAnsi="Times New Roman"/>
          <w:sz w:val="28"/>
          <w:szCs w:val="32"/>
        </w:rPr>
      </w:pPr>
      <w:r>
        <w:rPr>
          <w:rFonts w:ascii="Times New Roman" w:hAnsi="Times New Roman"/>
          <w:sz w:val="28"/>
          <w:szCs w:val="32"/>
        </w:rPr>
        <w:t>Розробити класифікацію країн та регіонів світу.</w:t>
      </w:r>
    </w:p>
    <w:p w14:paraId="3815874F"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Вчені розробили декілька класифікацій країн та регіонів світу за різними ознаками:</w:t>
      </w:r>
    </w:p>
    <w:p w14:paraId="2CF4BB64"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а) за географічним положенням:</w:t>
      </w:r>
    </w:p>
    <w:p w14:paraId="43C5AF10"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прикордонні та внутрішні;</w:t>
      </w:r>
    </w:p>
    <w:p w14:paraId="11D9DA72"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тропічні (субтропічні) та екваторіальні;</w:t>
      </w:r>
    </w:p>
    <w:p w14:paraId="6D9E14E3"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приморські (приокеанічні) та розташовані на суходолі;</w:t>
      </w:r>
    </w:p>
    <w:p w14:paraId="6494419F"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материкові та острівні (півострівні).</w:t>
      </w:r>
    </w:p>
    <w:p w14:paraId="26A66607"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б) за природними умовами та ресурсами:</w:t>
      </w:r>
    </w:p>
    <w:p w14:paraId="58A4D848"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рівнинні та гірські (передгірські, високо гірські);</w:t>
      </w:r>
    </w:p>
    <w:p w14:paraId="470A35C5"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прирічні та приозерні;</w:t>
      </w:r>
    </w:p>
    <w:p w14:paraId="6DBDAAD1"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поліські, лісостепові та степові;</w:t>
      </w:r>
    </w:p>
    <w:p w14:paraId="204F157B"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xml:space="preserve">-пустельні та аридні.   </w:t>
      </w:r>
    </w:p>
    <w:p w14:paraId="14F7C569"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в) за соціально-економічними ознаками:</w:t>
      </w:r>
    </w:p>
    <w:p w14:paraId="005D09B1"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густозаселені та слабозаселені;</w:t>
      </w:r>
    </w:p>
    <w:p w14:paraId="0C4975CA"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поліетнічні та моноетнічні;</w:t>
      </w:r>
    </w:p>
    <w:p w14:paraId="7938797B"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високоурбанізовані та слабоурбанізовані;</w:t>
      </w:r>
    </w:p>
    <w:p w14:paraId="06996D9F"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 економічно високорозвинені та слаборозвинені з густою і рідкою транспортною мережею.</w:t>
      </w:r>
    </w:p>
    <w:p w14:paraId="470F2063" w14:textId="77777777" w:rsidR="00CF73FE" w:rsidRPr="00920471" w:rsidRDefault="00CF73FE" w:rsidP="00CF73FE">
      <w:pPr>
        <w:spacing w:line="240" w:lineRule="auto"/>
        <w:ind w:left="360"/>
        <w:jc w:val="center"/>
        <w:rPr>
          <w:rFonts w:ascii="Times New Roman" w:hAnsi="Times New Roman"/>
          <w:b/>
          <w:sz w:val="32"/>
          <w:szCs w:val="32"/>
        </w:rPr>
      </w:pPr>
      <w:r w:rsidRPr="00920471">
        <w:rPr>
          <w:rFonts w:ascii="Times New Roman" w:hAnsi="Times New Roman"/>
          <w:b/>
          <w:sz w:val="32"/>
          <w:szCs w:val="32"/>
        </w:rPr>
        <w:t>8.2.Питання методики розробки регіональної стратегії розвитку світового туризму</w:t>
      </w:r>
    </w:p>
    <w:p w14:paraId="2A5A5593"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При розробці стратегії регіонального розвитку світового туризму необхідно дотримуватися методичних положень та рекомендацій, які викладені у логічній схемі послідовності розробки стратегії, розробленій Оксаною Пеньковою:</w:t>
      </w:r>
    </w:p>
    <w:p w14:paraId="6691B98C" w14:textId="77777777" w:rsidR="00CF73FE" w:rsidRDefault="00CF73FE" w:rsidP="00CF73FE">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Діагностика туризму в регіоні, яка включає:</w:t>
      </w:r>
    </w:p>
    <w:p w14:paraId="7F882532" w14:textId="77777777" w:rsidR="00CF73FE" w:rsidRDefault="00CF73FE" w:rsidP="00CF73FE">
      <w:pPr>
        <w:pStyle w:val="a3"/>
        <w:spacing w:line="240" w:lineRule="auto"/>
        <w:jc w:val="both"/>
        <w:rPr>
          <w:rFonts w:ascii="Times New Roman" w:hAnsi="Times New Roman"/>
          <w:sz w:val="28"/>
          <w:szCs w:val="32"/>
        </w:rPr>
      </w:pPr>
      <w:r>
        <w:rPr>
          <w:rFonts w:ascii="Times New Roman" w:hAnsi="Times New Roman"/>
          <w:sz w:val="28"/>
          <w:szCs w:val="32"/>
        </w:rPr>
        <w:t>а) аналіз розвитку туризму в ретроспективі та виявлення головних тенденцій;</w:t>
      </w:r>
    </w:p>
    <w:p w14:paraId="2507DA3D" w14:textId="77777777" w:rsidR="00CF73FE" w:rsidRDefault="00CF73FE" w:rsidP="00CF73FE">
      <w:pPr>
        <w:pStyle w:val="a3"/>
        <w:spacing w:line="240" w:lineRule="auto"/>
        <w:jc w:val="both"/>
        <w:rPr>
          <w:rFonts w:ascii="Times New Roman" w:hAnsi="Times New Roman"/>
          <w:sz w:val="28"/>
          <w:szCs w:val="32"/>
        </w:rPr>
      </w:pPr>
      <w:r>
        <w:rPr>
          <w:rFonts w:ascii="Times New Roman" w:hAnsi="Times New Roman"/>
          <w:sz w:val="28"/>
          <w:szCs w:val="32"/>
        </w:rPr>
        <w:lastRenderedPageBreak/>
        <w:t xml:space="preserve">б) оцінка сучасного стану розвитку і структури туризму; при оцінці використовують різні методи (експертні оцінки, оцінки туристами, </w:t>
      </w:r>
      <w:r>
        <w:rPr>
          <w:rFonts w:ascii="Times New Roman" w:hAnsi="Times New Roman"/>
          <w:sz w:val="28"/>
          <w:szCs w:val="32"/>
          <w:lang w:val="en-US"/>
        </w:rPr>
        <w:t>SWOT</w:t>
      </w:r>
      <w:r>
        <w:rPr>
          <w:rFonts w:ascii="Times New Roman" w:hAnsi="Times New Roman"/>
          <w:sz w:val="28"/>
          <w:szCs w:val="32"/>
        </w:rPr>
        <w:t xml:space="preserve"> – аналіз (сильні та слабкі сторони, можливості та загрози);</w:t>
      </w:r>
    </w:p>
    <w:p w14:paraId="394C1F5E" w14:textId="77777777" w:rsidR="00CF73FE" w:rsidRDefault="00CF73FE" w:rsidP="00CF73FE">
      <w:pPr>
        <w:pStyle w:val="a3"/>
        <w:spacing w:line="240" w:lineRule="auto"/>
        <w:jc w:val="both"/>
        <w:rPr>
          <w:rFonts w:ascii="Times New Roman" w:hAnsi="Times New Roman"/>
          <w:sz w:val="28"/>
          <w:szCs w:val="32"/>
        </w:rPr>
      </w:pPr>
      <w:r>
        <w:rPr>
          <w:rFonts w:ascii="Times New Roman" w:hAnsi="Times New Roman"/>
          <w:sz w:val="28"/>
          <w:szCs w:val="32"/>
        </w:rPr>
        <w:t>в) виявлення  актуальних проблем розвитку туризму.</w:t>
      </w:r>
    </w:p>
    <w:p w14:paraId="385C1E62" w14:textId="77777777" w:rsidR="00CF73FE" w:rsidRPr="00903647" w:rsidRDefault="00CF73FE" w:rsidP="00CF73FE">
      <w:pPr>
        <w:pStyle w:val="a3"/>
        <w:numPr>
          <w:ilvl w:val="0"/>
          <w:numId w:val="3"/>
        </w:numPr>
        <w:spacing w:after="200" w:line="240" w:lineRule="auto"/>
        <w:jc w:val="both"/>
        <w:rPr>
          <w:rFonts w:ascii="Times New Roman" w:hAnsi="Times New Roman"/>
          <w:sz w:val="28"/>
          <w:szCs w:val="32"/>
        </w:rPr>
      </w:pPr>
      <w:r w:rsidRPr="00903647">
        <w:rPr>
          <w:rFonts w:ascii="Times New Roman" w:hAnsi="Times New Roman"/>
          <w:sz w:val="28"/>
          <w:szCs w:val="32"/>
        </w:rPr>
        <w:t>Оцінка ресурсного потенціалу розвитку туризму регіону.</w:t>
      </w:r>
    </w:p>
    <w:p w14:paraId="41066926" w14:textId="77777777" w:rsidR="00CF73FE" w:rsidRPr="00903647" w:rsidRDefault="00CF73FE" w:rsidP="00CF73FE">
      <w:pPr>
        <w:pStyle w:val="a3"/>
        <w:numPr>
          <w:ilvl w:val="0"/>
          <w:numId w:val="3"/>
        </w:numPr>
        <w:spacing w:after="200" w:line="240" w:lineRule="auto"/>
        <w:jc w:val="both"/>
        <w:rPr>
          <w:rFonts w:ascii="Times New Roman" w:hAnsi="Times New Roman"/>
          <w:sz w:val="28"/>
          <w:szCs w:val="32"/>
        </w:rPr>
      </w:pPr>
      <w:r w:rsidRPr="00903647">
        <w:rPr>
          <w:rFonts w:ascii="Times New Roman" w:hAnsi="Times New Roman"/>
          <w:sz w:val="28"/>
          <w:szCs w:val="32"/>
        </w:rPr>
        <w:t>Оцінка впливу зовнішніх чинників (</w:t>
      </w:r>
      <w:r w:rsidRPr="00903647">
        <w:rPr>
          <w:rFonts w:ascii="Times New Roman" w:hAnsi="Times New Roman"/>
          <w:sz w:val="28"/>
          <w:szCs w:val="32"/>
          <w:lang w:val="en-US"/>
        </w:rPr>
        <w:t>SWOT</w:t>
      </w:r>
      <w:r w:rsidRPr="00903647">
        <w:rPr>
          <w:rFonts w:ascii="Times New Roman" w:hAnsi="Times New Roman"/>
          <w:sz w:val="28"/>
          <w:szCs w:val="32"/>
        </w:rPr>
        <w:t xml:space="preserve"> – аналіз).</w:t>
      </w:r>
    </w:p>
    <w:p w14:paraId="2DFC9E96" w14:textId="77777777" w:rsidR="00CF73FE" w:rsidRDefault="00CF73FE" w:rsidP="00CF73FE">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Формування стратегічної мети, завдань та пріоритетів розвитку туризму .</w:t>
      </w:r>
    </w:p>
    <w:p w14:paraId="4F5CBAC8" w14:textId="77777777" w:rsidR="00CF73FE" w:rsidRDefault="00CF73FE" w:rsidP="00CF73FE">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Визначення стратегічних альтернатив (сценаріїв, варіантів) розвитку туризму ( оптимістичний та песимістичний).</w:t>
      </w:r>
    </w:p>
    <w:p w14:paraId="33765FC7" w14:textId="77777777" w:rsidR="00CF73FE" w:rsidRDefault="00CF73FE" w:rsidP="00CF73FE">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Розробка стратегії розвитку туризму в регіоні на віддалену перспективу.</w:t>
      </w:r>
    </w:p>
    <w:p w14:paraId="5F4515F4" w14:textId="77777777" w:rsidR="00CF73FE" w:rsidRDefault="00CF73FE" w:rsidP="00CF73FE">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Моніторинг за ходом реалізації стратегії розвитку туризму регіону.</w:t>
      </w:r>
    </w:p>
    <w:p w14:paraId="78682879" w14:textId="77777777" w:rsidR="00CF73FE" w:rsidRDefault="00CF73FE" w:rsidP="00CF73FE">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Розробка заходів з метою забезпечення виконання стратегії розвитку туризму регіону [14].</w:t>
      </w:r>
    </w:p>
    <w:p w14:paraId="4EE5AD4E" w14:textId="77777777" w:rsidR="00CF73FE" w:rsidRPr="00920471" w:rsidRDefault="00CF73FE" w:rsidP="00CF73FE">
      <w:pPr>
        <w:spacing w:line="240" w:lineRule="auto"/>
        <w:ind w:left="360" w:firstLine="348"/>
        <w:jc w:val="center"/>
        <w:rPr>
          <w:rFonts w:ascii="Times New Roman" w:hAnsi="Times New Roman"/>
          <w:b/>
          <w:sz w:val="32"/>
          <w:szCs w:val="32"/>
        </w:rPr>
      </w:pPr>
      <w:r w:rsidRPr="00920471">
        <w:rPr>
          <w:rFonts w:ascii="Times New Roman" w:hAnsi="Times New Roman"/>
          <w:b/>
          <w:sz w:val="32"/>
          <w:szCs w:val="32"/>
        </w:rPr>
        <w:t>8.3.Стратегія розвитку туризму єврорегіонів</w:t>
      </w:r>
    </w:p>
    <w:p w14:paraId="5C367335" w14:textId="77777777" w:rsidR="00CF73FE" w:rsidRDefault="00CF73FE" w:rsidP="00CF73FE">
      <w:pPr>
        <w:spacing w:line="240" w:lineRule="auto"/>
        <w:ind w:left="360" w:firstLine="348"/>
        <w:jc w:val="both"/>
        <w:rPr>
          <w:rFonts w:ascii="Times New Roman" w:hAnsi="Times New Roman"/>
          <w:sz w:val="28"/>
          <w:szCs w:val="32"/>
        </w:rPr>
      </w:pPr>
      <w:r>
        <w:rPr>
          <w:rFonts w:ascii="Times New Roman" w:hAnsi="Times New Roman"/>
          <w:sz w:val="28"/>
          <w:szCs w:val="32"/>
        </w:rPr>
        <w:t>В процесі глобалізації у 2-й половині ХХ ст. одержало значний розвиток у світі транскордонне співробітництво. Найбільше пощирення воно має в Європі. Транскордонне співробітництво здійснюється між сусідніми країнами у межах їх прикордонних регіонів. Правовою основою його реалізації стали: «Європейська конвенція про транскордонне співробітництво» (1980р.) та «Декларація про транскордонне співробітництво» прийнята Радою Європи.</w:t>
      </w:r>
    </w:p>
    <w:p w14:paraId="2FEEAB58"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ab/>
        <w:t>Транскордонне співробітництво на регіональному рівні здійснюється у різних напрямах: економічному, соціальному, екологічному, науковому, освітньому, культурному, транспортному, рекреаційно-туристичному.</w:t>
      </w:r>
    </w:p>
    <w:p w14:paraId="723028CE"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ab/>
        <w:t>Транскордонне співробітництво в Європі здійснюється у різних формах, серед яких найбільш поширеною є формування єврорегіонів. У єврорегіонах розвиток різних видів соціально-економічної та туристичної діяльності узгоджується та координується між органами центральної та місцевої влади держав –членів єврорегіону. Активізація та регулювання розвитку  кожного єврорегіону здійснюється шляхом підписання міжурядових угод, затвердження спільних проектів та програм, створення єдиного міждержавного органу управління розвитком єврорегіону.</w:t>
      </w:r>
    </w:p>
    <w:p w14:paraId="3C9A5EDF"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ab/>
        <w:t xml:space="preserve"> В Європі зараз функціонує 40 єврорегіонів, з них найбільше створено в Німеччині на її кордонах з сусідніми країнами (21). Як правило, єврорегіони створені 2-3 сусідніми країнами, але може бути й 5-6. Наприклад, до єврорегіону «Карпати» належать території 5 країн, а «Балтики» - 6 країн. Коли в євро регіон входить багато країн, то складно розробляти та узгоджувати стратегію  та перспективи його розвитку.</w:t>
      </w:r>
    </w:p>
    <w:p w14:paraId="09366A8E" w14:textId="77777777" w:rsidR="00CF73FE" w:rsidRDefault="00CF73FE" w:rsidP="00CF73FE">
      <w:pPr>
        <w:spacing w:line="240" w:lineRule="auto"/>
        <w:ind w:left="360"/>
        <w:jc w:val="both"/>
        <w:rPr>
          <w:rFonts w:ascii="Times New Roman" w:hAnsi="Times New Roman"/>
          <w:sz w:val="28"/>
          <w:szCs w:val="32"/>
        </w:rPr>
      </w:pPr>
      <w:r>
        <w:rPr>
          <w:rFonts w:ascii="Times New Roman" w:hAnsi="Times New Roman"/>
          <w:sz w:val="28"/>
          <w:szCs w:val="32"/>
        </w:rPr>
        <w:tab/>
        <w:t>Україна на західному кордоні бере участь у розвитку трьох єврорегіонів:</w:t>
      </w:r>
    </w:p>
    <w:p w14:paraId="07A27F63" w14:textId="77777777" w:rsidR="00CF73FE" w:rsidRDefault="00CF73FE" w:rsidP="00CF73FE">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lastRenderedPageBreak/>
        <w:t>«Карпати», створений у 1993р. Україною, Польщею, Словаччиною, Угорщиною та Румунією;</w:t>
      </w:r>
    </w:p>
    <w:p w14:paraId="7FFDBC79" w14:textId="77777777" w:rsidR="00CF73FE" w:rsidRDefault="00CF73FE" w:rsidP="00CF73FE">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«Буг» - у 1995р. у складі Україна, Польща, Білорусь;</w:t>
      </w:r>
    </w:p>
    <w:p w14:paraId="4434610C" w14:textId="77777777" w:rsidR="00CF73FE" w:rsidRDefault="00CF73FE" w:rsidP="00CF73FE">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«Нижній Дунай» - Україна, Румунія, Молдова.</w:t>
      </w:r>
    </w:p>
    <w:p w14:paraId="287BE333" w14:textId="77777777" w:rsidR="00CF73FE" w:rsidRDefault="00CF73FE" w:rsidP="00CF73FE">
      <w:pPr>
        <w:spacing w:line="240" w:lineRule="auto"/>
        <w:ind w:left="708"/>
        <w:jc w:val="both"/>
        <w:rPr>
          <w:rFonts w:ascii="Times New Roman" w:hAnsi="Times New Roman"/>
          <w:sz w:val="28"/>
          <w:szCs w:val="32"/>
        </w:rPr>
      </w:pPr>
      <w:r>
        <w:rPr>
          <w:rFonts w:ascii="Times New Roman" w:hAnsi="Times New Roman"/>
          <w:sz w:val="28"/>
          <w:szCs w:val="32"/>
        </w:rPr>
        <w:t>У програмах розвитку цих єврорегіонів на перспективу певне місце відведене й розвитку туризму.</w:t>
      </w:r>
    </w:p>
    <w:p w14:paraId="33C7ED33"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Серед цих єврорегіонів найбільше туристичне значення має Карпатський. Тому розглянемо стратегічні пріоритети розвитку туризму цього єврорегіону:</w:t>
      </w:r>
    </w:p>
    <w:p w14:paraId="17E396EB" w14:textId="77777777" w:rsidR="00CF73FE" w:rsidRDefault="00CF73FE" w:rsidP="00CF73FE">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розробка і реалізація програми охорони навколишнього середовища та створення екологічної мережі;</w:t>
      </w:r>
    </w:p>
    <w:p w14:paraId="11218399" w14:textId="77777777" w:rsidR="00CF73FE" w:rsidRDefault="00CF73FE" w:rsidP="00CF73FE">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розробка і облаштування нових туристичних транскордонних маршрутів;</w:t>
      </w:r>
    </w:p>
    <w:p w14:paraId="4DC25056" w14:textId="77777777" w:rsidR="00CF73FE" w:rsidRDefault="00CF73FE" w:rsidP="00CF73FE">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туристичне освоєння нових гірських територій, багатих на природні та історико-культурні туристичні ресурси;</w:t>
      </w:r>
    </w:p>
    <w:p w14:paraId="3290BF38" w14:textId="77777777" w:rsidR="00CF73FE" w:rsidRDefault="00CF73FE" w:rsidP="00CF73FE">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розширення мережі рекреаційних та туристичних підприємств, підвищення їх комфортності та туристичної привабливості;</w:t>
      </w:r>
    </w:p>
    <w:p w14:paraId="7604A839" w14:textId="77777777" w:rsidR="00CF73FE" w:rsidRDefault="00CF73FE" w:rsidP="00CF73FE">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розширення та модернізація транспортної, соціальної і туристичної інфраструктури та підвищення якості надання туристичних послуг;</w:t>
      </w:r>
    </w:p>
    <w:p w14:paraId="2BB68D97" w14:textId="77777777" w:rsidR="00CF73FE" w:rsidRDefault="00CF73FE" w:rsidP="00CF73FE">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розробка та впровадження єдиної рекламно – інформаційної системи туристичного призначення.</w:t>
      </w:r>
    </w:p>
    <w:p w14:paraId="1562AF80" w14:textId="77777777" w:rsidR="00CF73FE" w:rsidRPr="00920471" w:rsidRDefault="00CF73FE" w:rsidP="00CF73FE">
      <w:pPr>
        <w:spacing w:line="240" w:lineRule="auto"/>
        <w:ind w:left="708"/>
        <w:jc w:val="center"/>
        <w:rPr>
          <w:rFonts w:ascii="Times New Roman" w:hAnsi="Times New Roman"/>
          <w:b/>
          <w:sz w:val="30"/>
          <w:szCs w:val="30"/>
        </w:rPr>
      </w:pPr>
      <w:r w:rsidRPr="00920471">
        <w:rPr>
          <w:rFonts w:ascii="Times New Roman" w:hAnsi="Times New Roman"/>
          <w:b/>
          <w:sz w:val="30"/>
          <w:szCs w:val="30"/>
        </w:rPr>
        <w:t>8.4.Стратегія розвитку туризму гірських регіонів</w:t>
      </w:r>
    </w:p>
    <w:p w14:paraId="05F38C95" w14:textId="77777777" w:rsidR="00CF73FE" w:rsidRDefault="00CF73FE" w:rsidP="00CF73FE">
      <w:pPr>
        <w:spacing w:line="240" w:lineRule="auto"/>
        <w:ind w:firstLine="708"/>
        <w:jc w:val="both"/>
        <w:rPr>
          <w:rFonts w:ascii="Times New Roman" w:hAnsi="Times New Roman"/>
          <w:sz w:val="28"/>
          <w:szCs w:val="32"/>
        </w:rPr>
      </w:pPr>
      <w:r>
        <w:rPr>
          <w:rFonts w:ascii="Times New Roman" w:hAnsi="Times New Roman"/>
          <w:sz w:val="28"/>
          <w:szCs w:val="32"/>
        </w:rPr>
        <w:t>При розробці стратегії розвитку туризму гірських регіонів світу необхідно виділити головні типи цих регіонів. В географії гори поділяють на старі, чи давні за часом виникнення, які переважно низькі, або середні за висотою, та молоді, високі.  Прикладом низьких гір є Уральські та Скандинавські, середніх – Карпати, високих – Альпи, Кавказ, Гімалаї, Кордильєри, Анди. Стратегічні пріоритети розвитку туризму цих типів гірських регіонів будуть різними.</w:t>
      </w:r>
    </w:p>
    <w:p w14:paraId="6B64E3C1"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У низько – та середньогірних регіонах у перспективі буде поширений пішохідний туризм, спортивний туризм (особливо гірськолижний), автотуризм.</w:t>
      </w:r>
    </w:p>
    <w:p w14:paraId="188242B9"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В цих регіонах туристи оглядатимуть окремі скелі, печери (Кунгурська на Уралі), водоспади, гірські озера (Синевир в Карпатах)</w:t>
      </w:r>
    </w:p>
    <w:p w14:paraId="5846845A"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Стратегія  розвитку туризму високогірних регіонів світу буде зорієнтована на відвідування вулканів (діючих та потухлих), на вершинах деяких з них лежать вічні сніги (Кіліманджаро, Фудзіяма), сходження на вершини гір (альпіністи обирають сходження на п’яти – восьмитисячники), відвідування льодовиків, що повільно сповзають в озера, моря, чи океани.</w:t>
      </w:r>
    </w:p>
    <w:p w14:paraId="24506609"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lastRenderedPageBreak/>
        <w:tab/>
        <w:t xml:space="preserve">Окрім природної складової до стратегічних пріоритетів розвитку туризму гірських регіонів слід додати історико-культурну. Зокрема в Альпійському регіоні туристи не лише любуються горами, а й спускаються в долини, де знайомляться з розташованими в них містами і селами. </w:t>
      </w:r>
    </w:p>
    <w:p w14:paraId="3B672BFB"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В Австрії у м. Зальцбург туристи відвідують щорічний музичний фестиваль, присвячений видатному композитору В.Моцарту, а також будинок-музей, в якому він народився.</w:t>
      </w:r>
    </w:p>
    <w:p w14:paraId="000F0551"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 xml:space="preserve"> Не менш цікавою є подорож у гірський край-провінцію Тіроль, де селяни заспівають туристам унікальні тірольські пісні, покажуть неповторний народний одяг,  побут, звичаї та обряди. В Швейцарії  ознайомлять туристів із секретами виготовлення знаменитих швейцарських сирів.</w:t>
      </w:r>
    </w:p>
    <w:p w14:paraId="5B4BB2B1"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Для порівняння візьмемо Гімалайський високогірний туристичний район. Європейський турист буде вражений великою кількістю буддійських храмів і монастирів у Непалі, ознайомиться з життям і побутом гірських непальців, а також відвідає м. Лхасу – духовну столицю далай – лами – верховного правителя ламаїзму, який є очільником буддизму.</w:t>
      </w:r>
    </w:p>
    <w:p w14:paraId="021307F9"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Третій високогірний туристичний регіон – це південноамериканські Анди. Європейському туристу надзвичайно цікаво ознайомитися з життям і побутом індіанців, з їх піснями і танцями. Пріоритетним напрямом туризму в цьому регіоні було і буде відвідування місць, які збереглися від середньовічної цивілізації інків, які по тому часові мали високий рівень матеріального і духовного розвитку.</w:t>
      </w:r>
    </w:p>
    <w:p w14:paraId="2F258A24"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В Перу туристи відвідують єдине місто інків, що збереглося це Мачу – Пікчу, розташоване північніше Куско в долині р. Урумбамба. У самому Куско – колишній столиці імперії інків можна оглянути руїни фортеці та палацу, собор і церкву.</w:t>
      </w:r>
    </w:p>
    <w:p w14:paraId="4E3140C6"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У Мексиці туристи відвідують місця, де процвітали цивілізації ацтеків та майя і збереглися дотепер унікальні піраміди, що зовсім не схожі з єгипетськими. Туристи відвідують місто ацтеків Теотіуакан, розташоване неподалік Мехіко, та місто майя Чичен - Іца, що знаходиться на півострові Юкатан.</w:t>
      </w:r>
    </w:p>
    <w:p w14:paraId="528ED787"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Цей вид туризму є одним із стратегічних пріоритетів для зазначених гірських туристичних регіонів.</w:t>
      </w:r>
    </w:p>
    <w:p w14:paraId="4CEF2996" w14:textId="77777777" w:rsidR="00CF73FE" w:rsidRPr="00337240" w:rsidRDefault="00CF73FE" w:rsidP="00CF73FE">
      <w:pPr>
        <w:spacing w:line="240" w:lineRule="auto"/>
        <w:jc w:val="center"/>
        <w:rPr>
          <w:rFonts w:ascii="Times New Roman" w:hAnsi="Times New Roman"/>
          <w:b/>
          <w:sz w:val="30"/>
          <w:szCs w:val="30"/>
        </w:rPr>
      </w:pPr>
      <w:r w:rsidRPr="00337240">
        <w:rPr>
          <w:rFonts w:ascii="Times New Roman" w:hAnsi="Times New Roman"/>
          <w:b/>
          <w:sz w:val="30"/>
          <w:szCs w:val="30"/>
        </w:rPr>
        <w:t>8.5.Стратегія розвитку туризму приморсько-приокеанських регіонів</w:t>
      </w:r>
    </w:p>
    <w:p w14:paraId="0E1B4DA4"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Окрему групу становлять регіони світу, розташовані у субтропічному та тропічному поясі на узбережжі океанів та морів. Ця група досить різноманітна і в свою чергу поділяється на дві підгрупи:</w:t>
      </w:r>
    </w:p>
    <w:p w14:paraId="487E4081"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а) регіони, розташовані на берегах океанів та морів у материковій частині країни;</w:t>
      </w:r>
    </w:p>
    <w:p w14:paraId="2E7D69FC"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lastRenderedPageBreak/>
        <w:t>б) приморські та приокеанські регіони, розташовані на півостровах.</w:t>
      </w:r>
    </w:p>
    <w:p w14:paraId="1C57A936"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Прикладом першої підгрупи можна назвати Лазурний берег Франції та Італії у Лігурійській затоці, Приморські курорти Болгарії та Румунії, Адріатичне узбережжя Хорватії та Чорногорії,  Чорноморське узбережжя Росії та Грузії, Середземноморське узбережжя  Туреччини, Приатлантичне узбережжя Марокко, район Ріо-де-Жанейро-Сан-Паулу.</w:t>
      </w:r>
    </w:p>
    <w:p w14:paraId="6A034D17"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У цій підгрупі рівень розвитку туризму досить високий. Тут досить широка і розвинена туристична інфраструктура. Не менш важливо те, що ці регіони забезпечують туристичні потреби переважно багатих та заможних міських мешканців. Особливістю цих регіонів є значний попит на високоякісні туристичні послуги, різноманітний відпочинок та розваги.</w:t>
      </w:r>
    </w:p>
    <w:p w14:paraId="1BB14858"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Яскравим прикладом туристичного регіону цієї підгрупи є Лазурний берег, або Французька Рів’єра, де окрім екзотики природи багатих туристів приваблюють розкішні палаци, театри, музеї, ігровий будинок у Монте-Карло. Приваблюють туристів також подієві види туризму (щорічний міжнародний кінофестиваль у Каннах, міжнародне авторалі «Формула-І» теж у Каннах.</w:t>
      </w:r>
    </w:p>
    <w:p w14:paraId="7B311B67"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Розробляючи стратегію розвитку туризму в регіонах першої підгрупи необхідно передбачити збереження та подальший розвиток зазначених видів туризму.</w:t>
      </w:r>
    </w:p>
    <w:p w14:paraId="25F52A8B"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Стратегію розвитку туризму регіонів другої підгрупи розглянемо на прикладі Піренейського, Апеннінського, Балканського, Малаккського півостровів та півострова Флоріда. На Піренейському півострові туризм розвинений на Середземноморському узбережжі, яке функціонально поділено на три рекреаційно - туристичних зони (Коста-Брава («скелястий берег»)), Коста-Дорадо (від Барселони до Валенсії) та Коста-Бланку). Кожна зона має певні відмінності природних умов, пам’яток історії, культури та архітектури. На Апенінському півострові туристичний регіон розташований на західному узбережжі і включає Рим-Ватикан-Неаполь. Тут велика кількість пам’яток культури та архітектури давньоримської та середньовічної цивілізацій. На Балканському півострові в Греції окрім гірської природи туристичну привабливість мають пам’ятки історії, культури та архітектури давньогрецької цивілізації (храми і пам’ятники богам, унікальні спортивні споруди). На Флоріді через її заболоченість туристичне значення має лише східне узбережжя ( курорт Майямі-Біч).</w:t>
      </w:r>
    </w:p>
    <w:p w14:paraId="496DCE2B"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При розробці стратегії розвитку туризму регіонів другої підгрупи пріоритетний розвиток одержать зазначені види туризму.</w:t>
      </w:r>
    </w:p>
    <w:p w14:paraId="148B1FE4" w14:textId="77777777" w:rsidR="00CF73FE" w:rsidRPr="00E55C73" w:rsidRDefault="00CF73FE" w:rsidP="00CF73FE">
      <w:pPr>
        <w:spacing w:line="240" w:lineRule="auto"/>
        <w:jc w:val="center"/>
        <w:rPr>
          <w:rFonts w:ascii="Times New Roman" w:hAnsi="Times New Roman"/>
          <w:b/>
          <w:sz w:val="30"/>
          <w:szCs w:val="30"/>
        </w:rPr>
      </w:pPr>
      <w:r w:rsidRPr="00E55C73">
        <w:rPr>
          <w:rFonts w:ascii="Times New Roman" w:hAnsi="Times New Roman"/>
          <w:b/>
          <w:sz w:val="30"/>
          <w:szCs w:val="30"/>
        </w:rPr>
        <w:t>8.6.Стратегія розвитку туризму острівних країн світу</w:t>
      </w:r>
    </w:p>
    <w:p w14:paraId="38532041"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 xml:space="preserve">Велика кількість острівних країн світу має розвинений туризм. Перспективи його розвитку будуть різні, що залежить від багатьох чинників. Перш за все, якщо острівна країна велика за територією, або має значні природні ресурси, то туризм в ній розвивається як додаткове джерело </w:t>
      </w:r>
      <w:r>
        <w:rPr>
          <w:rFonts w:ascii="Times New Roman" w:hAnsi="Times New Roman"/>
          <w:sz w:val="28"/>
          <w:szCs w:val="32"/>
        </w:rPr>
        <w:lastRenderedPageBreak/>
        <w:t>поповнення бюджету країни. У цих країнах туризм розвивається на одному – двох невеликих островах (Індонезія, Нова Зеландія, Ірландія).</w:t>
      </w:r>
    </w:p>
    <w:p w14:paraId="680940D1"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Інший напрям розвитку туризму в невеликих, особливо «карликових» острівних країнах. Тут потрібно враховувати також географічне положення цих країн, чи регіонів. Так, в Ісландії переважає екстремальний туризм, куди за полярне коло приїздять за екзотикою (полярне сяйво, білі ночі, високі вулкани з білосніжними шапками, катання на снігоходах, собачих упряжках, оленях, оглядини льодовиків).</w:t>
      </w:r>
    </w:p>
    <w:p w14:paraId="46087EA6" w14:textId="77777777" w:rsidR="00CF73FE" w:rsidRDefault="00CF73FE" w:rsidP="00CF73FE">
      <w:pPr>
        <w:spacing w:line="240" w:lineRule="auto"/>
        <w:jc w:val="both"/>
        <w:rPr>
          <w:rFonts w:ascii="Times New Roman" w:hAnsi="Times New Roman"/>
          <w:sz w:val="28"/>
          <w:szCs w:val="32"/>
        </w:rPr>
      </w:pPr>
      <w:r>
        <w:rPr>
          <w:rFonts w:ascii="Times New Roman" w:hAnsi="Times New Roman"/>
          <w:sz w:val="28"/>
          <w:szCs w:val="32"/>
        </w:rPr>
        <w:tab/>
        <w:t>Зовсім іншу стратегію розвитку туризму мають невеликі острівні країни, розташовані в субтропічній, тропічній та екваторіальний природно-кліматичних зонах світу. В них розвиватимуться такі види туризму, як плавання, купання, загоряння, водно-спортивний туризм (дайвінг, серфінг), прогулянки по морю на яхтах, скутерах, катамаранах.</w:t>
      </w:r>
    </w:p>
    <w:p w14:paraId="0E4A0462" w14:textId="4EEF6F49" w:rsidR="009660F2" w:rsidRDefault="00CF73FE" w:rsidP="00CF73FE">
      <w:r>
        <w:rPr>
          <w:rFonts w:ascii="Times New Roman" w:hAnsi="Times New Roman"/>
          <w:sz w:val="28"/>
          <w:szCs w:val="32"/>
        </w:rPr>
        <w:tab/>
        <w:t>Слід зазначити, що острови, розташовані в «зоні вічного літа», мають деякі відмінності природних умов і туризму. Ми виділяємо дві групи островів. До першої відносимо коралові рівнинні острови з чудовими білосніжними пляжами, де туризм обмежений морем і пляжами (Багамські острови, Сейшельські та Мальдівські острови). До другої групи ми відносимо острівні країни та регіони, розташовані на високих гірських островах, де туристи окрім морського відпочинку, відвідують потужні вулкани, водоспади, оглядають скелі, озера. В цих регіонах унікальний рослинний та тваринний світ. Це джунглі з багатою флорою. Фауна представлена мавпами, мангустами, велетенськими черепахами, це Канарські острови, Маврікій, Кіпр.</w:t>
      </w:r>
    </w:p>
    <w:sectPr w:rsidR="00966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785D"/>
    <w:multiLevelType w:val="hybridMultilevel"/>
    <w:tmpl w:val="4620D0FC"/>
    <w:lvl w:ilvl="0" w:tplc="64D81CB8">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AA62381"/>
    <w:multiLevelType w:val="hybridMultilevel"/>
    <w:tmpl w:val="091CE2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28630C6"/>
    <w:multiLevelType w:val="hybridMultilevel"/>
    <w:tmpl w:val="17DE1EE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1384909363">
    <w:abstractNumId w:val="0"/>
  </w:num>
  <w:num w:numId="2" w16cid:durableId="1902324269">
    <w:abstractNumId w:val="2"/>
  </w:num>
  <w:num w:numId="3" w16cid:durableId="79622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F2"/>
    <w:rsid w:val="009660F2"/>
    <w:rsid w:val="00CF73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DD566-E6B0-4A81-A32D-203350A9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FE"/>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10813</Characters>
  <Application>Microsoft Office Word</Application>
  <DocSecurity>0</DocSecurity>
  <Lines>90</Lines>
  <Paragraphs>25</Paragraphs>
  <ScaleCrop>false</ScaleCrop>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2022-09-10T17:34:00Z</dcterms:created>
  <dcterms:modified xsi:type="dcterms:W3CDTF">2022-09-10T17:34:00Z</dcterms:modified>
</cp:coreProperties>
</file>