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47" w:rsidRDefault="00600A47" w:rsidP="0060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Лекція № 4 </w:t>
      </w:r>
    </w:p>
    <w:p w:rsidR="00600A47" w:rsidRPr="00600A47" w:rsidRDefault="00600A47" w:rsidP="0060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Етапи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стру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ктурні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особливості журналістського розслідування</w:t>
      </w:r>
    </w:p>
    <w:p w:rsidR="00600A47" w:rsidRPr="00600A47" w:rsidRDefault="00600A47" w:rsidP="0060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A47" w:rsidRPr="00600A47" w:rsidRDefault="00600A47" w:rsidP="0060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журналістиці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відображених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обранні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теми, яка б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зацікавила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коло людей.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журналістського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Тема. </w:t>
      </w:r>
      <w:bookmarkStart w:id="0" w:name="_GoBack"/>
      <w:bookmarkEnd w:id="0"/>
      <w:r w:rsidRPr="00600A47">
        <w:rPr>
          <w:rFonts w:ascii="Times New Roman" w:hAnsi="Times New Roman" w:cs="Times New Roman"/>
          <w:sz w:val="28"/>
          <w:szCs w:val="28"/>
        </w:rPr>
        <w:t>Практично будь-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журналістський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причини.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конфіденційні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резонансні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самопливом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через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кореспондентів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агентства.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вбивство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кадрові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арбітражні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бізнес-структури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судяться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47" w:rsidRPr="00600A47" w:rsidRDefault="00600A47" w:rsidP="0060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A47">
        <w:rPr>
          <w:rFonts w:ascii="Times New Roman" w:hAnsi="Times New Roman" w:cs="Times New Roman"/>
          <w:sz w:val="28"/>
          <w:szCs w:val="28"/>
          <w:lang w:val="uk-UA"/>
        </w:rPr>
        <w:t xml:space="preserve">Побутує думка, що журналістського розслідування гідні лише теми, пов’язані з криміналом чи корупцією.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ж теми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розслідувальним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обмежуються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кримінальними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схемами. Репортер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реконструювати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неординарне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відслідкувати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600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резонанс,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викличе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теми, як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зреагує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зреагує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повинен сам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резонансності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підрахувати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арсеналом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володієте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проблемою,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поставлене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реципієнту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тему.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один фактор,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Практично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оцінюючи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придумувати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нейтралізації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поставить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визначатиме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людей,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розпланувати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наш час.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Робота з документами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перспективності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підсумку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lastRenderedPageBreak/>
        <w:t>Збір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: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зафіксована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базах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: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неживі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конфіденційні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);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неофіційні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журналістові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журналістському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осягнення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намагання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Метод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чуттєвого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бути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суспільно-політичні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t xml:space="preserve"> За часовою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затраченого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часу)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короткочасні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Короткочасні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предмет детально,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довготривале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приховуванням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феноменами,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ємні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афішує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заявляє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свою мету,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редакційне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те, як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При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таємному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часу (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людям, за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яка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розвідувач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ста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членом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релігійного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угрупування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в другому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секти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стаючи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хвилюючі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звертаючись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здобування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lastRenderedPageBreak/>
        <w:t>Існують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повинен знати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: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особистій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бесіді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будь-яке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узгоджене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повинен добре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посаду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; 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контакту з «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»;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про самого себе,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розрядить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задавати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«так»,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»;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пере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br/>
        <w:t xml:space="preserve">• при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неповній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ідчути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чекаєте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задавати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;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закінчивши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розпрощатися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47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порожню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балаканину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Одним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журналістському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близький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включеного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методом, тому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афішує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чином ним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здобута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включене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входить в уже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існуючу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просто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А при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штучну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продуману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спостереженн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результат 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інформаторами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знайшовши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базах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в яку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зводить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воєдино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систематизовану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>.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резюме, де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описуються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дійшов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юриста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ефі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r w:rsidRPr="00600A47">
        <w:rPr>
          <w:rFonts w:ascii="Times New Roman" w:hAnsi="Times New Roman" w:cs="Times New Roman"/>
          <w:sz w:val="28"/>
          <w:szCs w:val="28"/>
        </w:rPr>
        <w:br/>
        <w:t xml:space="preserve">Коли </w:t>
      </w:r>
      <w:proofErr w:type="gramStart"/>
      <w:r w:rsidRPr="00600A47"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 w:rsidRPr="00600A47">
        <w:rPr>
          <w:rFonts w:ascii="Times New Roman" w:hAnsi="Times New Roman" w:cs="Times New Roman"/>
          <w:sz w:val="28"/>
          <w:szCs w:val="28"/>
        </w:rPr>
        <w:t xml:space="preserve"> затвердив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ваш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, чих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торкнулися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0A47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600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цього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lastRenderedPageBreak/>
        <w:t>журналістське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розслідування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можна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вважати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A47">
        <w:rPr>
          <w:rFonts w:ascii="Times New Roman" w:hAnsi="Times New Roman" w:cs="Times New Roman"/>
          <w:sz w:val="28"/>
          <w:szCs w:val="28"/>
          <w:lang w:val="en-US"/>
        </w:rPr>
        <w:t>завершеним</w:t>
      </w:r>
      <w:proofErr w:type="spellEnd"/>
      <w:r w:rsidRPr="00600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1F6" w:rsidRPr="00600A47" w:rsidRDefault="008C61F6" w:rsidP="00600A47">
      <w:pPr>
        <w:rPr>
          <w:sz w:val="28"/>
          <w:szCs w:val="28"/>
        </w:rPr>
      </w:pPr>
    </w:p>
    <w:sectPr w:rsidR="008C61F6" w:rsidRPr="0060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47"/>
    <w:rsid w:val="00600A47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2022-09-19T07:58:00Z</dcterms:created>
  <dcterms:modified xsi:type="dcterms:W3CDTF">2022-09-19T08:00:00Z</dcterms:modified>
</cp:coreProperties>
</file>