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МЕТОДИЧНІ РЕКОМЕНДАЦІЇ </w:t>
      </w:r>
    </w:p>
    <w:p w:rsidR="00A137A1" w:rsidRDefault="00FE3518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ДО НАВЧАЛЬ</w:t>
      </w:r>
      <w:r w:rsidR="00A137A1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НОЇ ДИСЦИПЛІНИ  "</w:t>
      </w:r>
      <w:r w:rsidR="00D45FE9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ЛІТЕРАТУРА АНГЛОМОВНИХ КРАЇН</w:t>
      </w:r>
      <w:r w:rsidR="00A137A1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</w:t>
      </w:r>
    </w:p>
    <w:p w:rsidR="00A137A1" w:rsidRP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 w:rsidP="00A4405C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Самостійна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робота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студ</w:t>
      </w:r>
      <w:proofErr w:type="spellEnd"/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е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нта</w:t>
      </w:r>
      <w:proofErr w:type="spellEnd"/>
    </w:p>
    <w:p w:rsidR="00A137A1" w:rsidRP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здобувача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основним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засобом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="0098518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освітнього мат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еріалу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вільний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час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опрацювання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однією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організації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яка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меті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поглиблення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узагальнення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закріплення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знань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умінь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одержують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процесі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формального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Серед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типових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платформі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Moodle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есе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індивідуальному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порядку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вправ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різного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складності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Default="00A137A1" w:rsidP="00A137A1">
      <w:pPr>
        <w:shd w:val="clear" w:color="auto" w:fill="FCFCFC"/>
        <w:spacing w:after="0"/>
        <w:ind w:left="72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 w:rsidP="001F7059">
      <w:pPr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Політика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навчальної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дисципліни</w:t>
      </w:r>
      <w:proofErr w:type="spellEnd"/>
    </w:p>
    <w:p w:rsid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освітнього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компонента)</w:t>
      </w:r>
    </w:p>
    <w:p w:rsidR="00A137A1" w:rsidRPr="00A137A1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Студенти зобов’язані відвідувати всі заняття за розкладом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(у разі навчання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- відвідування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занять)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не запізнюватися та дотримуватися етики поведінки. 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Для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проходження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працювати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базовою</w:t>
      </w:r>
      <w:r w:rsidR="0098518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фаховою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літературою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ресурсами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електронних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носіях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Інтернеті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Для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курсу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відвідування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регулярна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занять. Студент повинен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виявляти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дисциплінованість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вихованість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доброзичливість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чесність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відповідальність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Заохочувальні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бали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надаються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відмінну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рефератів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проектів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участь 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нау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>ково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–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конференціях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Види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контролю та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рейтингова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система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оцінювання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</w:p>
    <w:p w:rsid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результатів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навчання</w:t>
      </w:r>
      <w:proofErr w:type="spellEnd"/>
      <w:r w:rsidRPr="00A137A1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 xml:space="preserve"> (РСО)</w:t>
      </w:r>
    </w:p>
    <w:p w:rsidR="00A137A1" w:rsidRPr="00A137A1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1F7059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першому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ознайомлюються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рейтинговою системою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оцінювання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(РСО)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Зокрема, рейтинг студента з дисципліни складається з балів, які можна отримати за відповіді на практичних заняттях протягом двох </w:t>
      </w:r>
      <w:r w:rsidR="0098518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семестрів і за виконання </w:t>
      </w:r>
      <w:proofErr w:type="spellStart"/>
      <w:r w:rsidR="0098518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МКР</w:t>
      </w:r>
      <w:proofErr w:type="spellEnd"/>
      <w:r w:rsidR="0098518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у </w:t>
      </w:r>
      <w:r w:rsidR="00D45FE9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III</w:t>
      </w:r>
      <w:r w:rsidR="00D45FE9" w:rsidRPr="00D45FE9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сем</w:t>
      </w:r>
      <w:r w:rsidR="0098518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естрі та підсумкового тесту у </w:t>
      </w:r>
      <w:r w:rsidR="00D45FE9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IV</w:t>
      </w:r>
      <w:r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семестрі. </w:t>
      </w:r>
    </w:p>
    <w:p w:rsidR="00A137A1" w:rsidRPr="00A137A1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ab/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заняттях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включають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себе: роботу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текстами,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розкриття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розмовних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тем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тестування,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4405C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Модульна</w:t>
      </w:r>
      <w:proofErr w:type="spellEnd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контрольна</w:t>
      </w:r>
      <w:proofErr w:type="spellEnd"/>
      <w:r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робота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 (МКР) </w:t>
      </w:r>
      <w:proofErr w:type="spellStart"/>
      <w:r w:rsidR="00FE3518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FE3518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</w:t>
      </w:r>
      <w:r w:rsidR="00FE3518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2</w:t>
      </w:r>
      <w:r w:rsidR="00FE3518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0</w:t>
      </w:r>
      <w:r w:rsidR="00FE3518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r w:rsidR="00FE3518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проводиться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матеріалів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кінці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першого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семестру.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Модульна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різних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Метою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літературознавчого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аналізу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художніх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творів</w:t>
      </w:r>
      <w:proofErr w:type="spellEnd"/>
      <w:r w:rsidR="00A4405C" w:rsidRPr="00532C11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A4405C" w:rsidRPr="00532C11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єдності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змісту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та</w:t>
      </w:r>
      <w:r w:rsidR="00A4405C" w:rsidRPr="00532C11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форми</w:t>
      </w:r>
      <w:proofErr w:type="spellEnd"/>
      <w:r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Підсумкове</w:t>
      </w:r>
      <w:proofErr w:type="spellEnd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тестування</w:t>
      </w:r>
      <w:proofErr w:type="spellEnd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A137A1" w:rsidRPr="00A137A1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10</w:t>
      </w:r>
      <w:r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,</w:t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>ся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FE3518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Метою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є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4405C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="00A4405C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літературознавчого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аналізу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художніх</w:t>
      </w:r>
      <w:proofErr w:type="spellEnd"/>
      <w:r w:rsidR="00A4405C" w:rsidRPr="00532C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405C" w:rsidRPr="00532C11">
        <w:rPr>
          <w:rFonts w:asciiTheme="majorHAnsi" w:hAnsiTheme="majorHAnsi"/>
          <w:sz w:val="28"/>
          <w:szCs w:val="28"/>
        </w:rPr>
        <w:t>творів</w:t>
      </w:r>
      <w:proofErr w:type="spellEnd"/>
      <w:r w:rsidR="00A4405C">
        <w:rPr>
          <w:rFonts w:asciiTheme="majorHAnsi" w:hAnsiTheme="majorHAnsi"/>
          <w:sz w:val="28"/>
          <w:szCs w:val="28"/>
          <w:lang w:val="uk-UA"/>
        </w:rPr>
        <w:t xml:space="preserve"> Великої Британії, Канади, США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із завдань, подібних до завдань модульної контрольної роботи.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К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онтроль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результатів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реалізується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шляхом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відповідності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поточного рейтингу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успішності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 за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визначеними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РСО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критеріям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набрали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протягом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кожного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</w:t>
      </w: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</w:t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кредитного модуля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60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але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30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),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зобов’язані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виконувати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залікову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роботу.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виконали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до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заліку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допускаються</w:t>
      </w:r>
      <w:proofErr w:type="spellEnd"/>
      <w:r w:rsidR="00A137A1" w:rsidRPr="00A137A1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A137A1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A137A1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здійснюється відповідно до таблиці:</w:t>
      </w:r>
    </w:p>
    <w:p w:rsidR="00A137A1" w:rsidRPr="001F7059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1F7059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Таблиця відповідності рейтингових балів оцінкам за університетською шкалою: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389"/>
      </w:tblGrid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100-95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Відмінно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94-85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Дуже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добре</w:t>
            </w:r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84-75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Добре</w:t>
            </w:r>
          </w:p>
        </w:tc>
      </w:tr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74-65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Задовільно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64-60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Достатньо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Менше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</w:tc>
      </w:tr>
      <w:tr w:rsidR="00A137A1" w:rsidRPr="00A137A1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виконані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умови</w:t>
            </w:r>
            <w:proofErr w:type="spellEnd"/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допуску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A137A1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A137A1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 допущено</w:t>
            </w:r>
          </w:p>
        </w:tc>
      </w:tr>
    </w:tbl>
    <w:p w:rsidR="00FE6784" w:rsidRPr="00A137A1" w:rsidRDefault="00FE6784" w:rsidP="00A137A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FE6784" w:rsidRPr="00A137A1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0"/>
    <w:multiLevelType w:val="multilevel"/>
    <w:tmpl w:val="5E1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5584"/>
    <w:multiLevelType w:val="multilevel"/>
    <w:tmpl w:val="FF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C1A60"/>
    <w:multiLevelType w:val="multilevel"/>
    <w:tmpl w:val="334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14348"/>
    <w:multiLevelType w:val="multilevel"/>
    <w:tmpl w:val="766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81F5B"/>
    <w:multiLevelType w:val="multilevel"/>
    <w:tmpl w:val="32A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A1"/>
    <w:rsid w:val="001F7059"/>
    <w:rsid w:val="00304E19"/>
    <w:rsid w:val="00661E0F"/>
    <w:rsid w:val="008A1DE9"/>
    <w:rsid w:val="0098518A"/>
    <w:rsid w:val="00A137A1"/>
    <w:rsid w:val="00A4405C"/>
    <w:rsid w:val="00D45FE9"/>
    <w:rsid w:val="00FE351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1"/>
    <w:rPr>
      <w:b/>
      <w:bCs/>
    </w:rPr>
  </w:style>
  <w:style w:type="character" w:styleId="a5">
    <w:name w:val="Hyperlink"/>
    <w:basedOn w:val="a0"/>
    <w:uiPriority w:val="99"/>
    <w:semiHidden/>
    <w:unhideWhenUsed/>
    <w:rsid w:val="00A137A1"/>
    <w:rPr>
      <w:color w:val="0000FF"/>
      <w:u w:val="single"/>
    </w:rPr>
  </w:style>
  <w:style w:type="character" w:styleId="a6">
    <w:name w:val="Emphasis"/>
    <w:basedOn w:val="a0"/>
    <w:uiPriority w:val="20"/>
    <w:qFormat/>
    <w:rsid w:val="00A13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2022-09-23T18:05:00Z</dcterms:created>
  <dcterms:modified xsi:type="dcterms:W3CDTF">2022-09-23T18:05:00Z</dcterms:modified>
</cp:coreProperties>
</file>