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FBE" w:rsidRPr="00AC2FBE" w:rsidRDefault="00AC2FBE" w:rsidP="00AC2FBE">
      <w:pPr>
        <w:jc w:val="right"/>
        <w:rPr>
          <w:rFonts w:asciiTheme="majorHAnsi" w:hAnsiTheme="majorHAnsi"/>
          <w:b/>
          <w:sz w:val="28"/>
          <w:szCs w:val="28"/>
          <w:lang w:val="en-US"/>
        </w:rPr>
      </w:pPr>
      <w:r w:rsidRPr="00AC2FBE">
        <w:rPr>
          <w:rFonts w:asciiTheme="majorHAnsi" w:hAnsiTheme="majorHAnsi"/>
          <w:b/>
          <w:sz w:val="28"/>
          <w:szCs w:val="28"/>
          <w:lang w:val="en-US"/>
        </w:rPr>
        <w:t>TEXT</w:t>
      </w:r>
    </w:p>
    <w:p w:rsidR="00AC2FBE" w:rsidRDefault="00AC2FBE" w:rsidP="00AC2FBE">
      <w:pPr>
        <w:pStyle w:val="2"/>
        <w:spacing w:before="0" w:beforeAutospacing="0" w:after="0" w:afterAutospacing="0" w:line="276" w:lineRule="auto"/>
        <w:jc w:val="center"/>
        <w:rPr>
          <w:rStyle w:val="a5"/>
          <w:rFonts w:asciiTheme="majorHAnsi" w:hAnsiTheme="majorHAnsi"/>
          <w:b/>
          <w:sz w:val="28"/>
          <w:szCs w:val="28"/>
          <w:lang w:val="en-US"/>
        </w:rPr>
      </w:pPr>
      <w:r w:rsidRPr="00AC2FBE">
        <w:rPr>
          <w:rStyle w:val="a5"/>
          <w:rFonts w:asciiTheme="majorHAnsi" w:hAnsiTheme="majorHAnsi"/>
          <w:b/>
          <w:sz w:val="28"/>
          <w:szCs w:val="28"/>
          <w:lang w:val="en-US"/>
        </w:rPr>
        <w:t>INCLUSION IN EDUCATION</w:t>
      </w:r>
    </w:p>
    <w:p w:rsidR="00AC2FBE" w:rsidRDefault="00AC2FBE" w:rsidP="00AC2FBE">
      <w:pPr>
        <w:pStyle w:val="2"/>
        <w:spacing w:before="0" w:beforeAutospacing="0" w:after="0" w:afterAutospacing="0" w:line="276" w:lineRule="auto"/>
        <w:jc w:val="center"/>
        <w:rPr>
          <w:rStyle w:val="a5"/>
          <w:rFonts w:asciiTheme="majorHAnsi" w:hAnsiTheme="majorHAnsi"/>
          <w:b/>
          <w:sz w:val="28"/>
          <w:szCs w:val="28"/>
          <w:lang w:val="en-US"/>
        </w:rPr>
      </w:pPr>
    </w:p>
    <w:p w:rsidR="00AC2FBE" w:rsidRPr="00AC2FBE" w:rsidRDefault="00AC2FBE" w:rsidP="00AC2FBE">
      <w:pPr>
        <w:pStyle w:val="2"/>
        <w:spacing w:before="0" w:beforeAutospacing="0" w:after="0" w:afterAutospacing="0" w:line="276" w:lineRule="auto"/>
        <w:jc w:val="center"/>
        <w:rPr>
          <w:rStyle w:val="a5"/>
          <w:rFonts w:asciiTheme="majorHAnsi" w:hAnsiTheme="majorHAnsi"/>
          <w:b/>
          <w:sz w:val="28"/>
          <w:szCs w:val="28"/>
          <w:lang w:val="en-US"/>
        </w:rPr>
      </w:pPr>
      <w:r>
        <w:rPr>
          <w:noProof/>
        </w:rPr>
        <w:drawing>
          <wp:inline distT="0" distB="0" distL="0" distR="0">
            <wp:extent cx="5940425" cy="4291957"/>
            <wp:effectExtent l="19050" t="0" r="3175" b="0"/>
            <wp:docPr id="1" name="Рисунок 1" descr="Inclusion Education Concept. Notebook and Markers Stock Photo - Image of  integrate, disability: 159212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lusion Education Concept. Notebook and Markers Stock Photo - Image of  integrate, disability: 159212868"/>
                    <pic:cNvPicPr>
                      <a:picLocks noChangeAspect="1" noChangeArrowheads="1"/>
                    </pic:cNvPicPr>
                  </pic:nvPicPr>
                  <pic:blipFill>
                    <a:blip r:embed="rId4"/>
                    <a:srcRect/>
                    <a:stretch>
                      <a:fillRect/>
                    </a:stretch>
                  </pic:blipFill>
                  <pic:spPr bwMode="auto">
                    <a:xfrm>
                      <a:off x="0" y="0"/>
                      <a:ext cx="5940425" cy="4291957"/>
                    </a:xfrm>
                    <a:prstGeom prst="rect">
                      <a:avLst/>
                    </a:prstGeom>
                    <a:noFill/>
                    <a:ln w="9525">
                      <a:noFill/>
                      <a:miter lim="800000"/>
                      <a:headEnd/>
                      <a:tailEnd/>
                    </a:ln>
                  </pic:spPr>
                </pic:pic>
              </a:graphicData>
            </a:graphic>
          </wp:inline>
        </w:drawing>
      </w:r>
    </w:p>
    <w:p w:rsidR="00AC2FBE" w:rsidRPr="00AC2FBE" w:rsidRDefault="00AC2FBE" w:rsidP="00AC2FBE">
      <w:pPr>
        <w:pStyle w:val="2"/>
        <w:spacing w:before="0" w:beforeAutospacing="0" w:after="0" w:afterAutospacing="0" w:line="276" w:lineRule="auto"/>
        <w:jc w:val="both"/>
        <w:rPr>
          <w:rFonts w:asciiTheme="majorHAnsi" w:hAnsiTheme="majorHAnsi" w:cs="Arial"/>
          <w:b w:val="0"/>
          <w:sz w:val="28"/>
          <w:szCs w:val="28"/>
          <w:lang w:val="en-US"/>
        </w:rPr>
      </w:pPr>
    </w:p>
    <w:p w:rsidR="00AC2FBE" w:rsidRPr="00AC2FBE" w:rsidRDefault="00AC2FBE" w:rsidP="00AC2FBE">
      <w:pPr>
        <w:pStyle w:val="a4"/>
        <w:spacing w:before="0" w:beforeAutospacing="0" w:after="0" w:afterAutospacing="0" w:line="276" w:lineRule="auto"/>
        <w:jc w:val="both"/>
        <w:rPr>
          <w:rFonts w:asciiTheme="majorHAnsi" w:hAnsiTheme="majorHAnsi" w:cs="Arial"/>
          <w:sz w:val="28"/>
          <w:szCs w:val="28"/>
          <w:lang w:val="en-US"/>
        </w:rPr>
      </w:pPr>
      <w:r>
        <w:rPr>
          <w:rFonts w:asciiTheme="majorHAnsi" w:hAnsiTheme="majorHAnsi" w:cs="Arial"/>
          <w:sz w:val="28"/>
          <w:szCs w:val="28"/>
          <w:lang w:val="en-US"/>
        </w:rPr>
        <w:tab/>
      </w:r>
      <w:r w:rsidRPr="00AC2FBE">
        <w:rPr>
          <w:rFonts w:asciiTheme="majorHAnsi" w:hAnsiTheme="majorHAnsi" w:cs="Arial"/>
          <w:sz w:val="28"/>
          <w:szCs w:val="28"/>
          <w:lang w:val="en-US"/>
        </w:rPr>
        <w:t>Inclusion is a broad subject and is a term that trips off the tongue of many. However, people have different understandings of what the word means.</w:t>
      </w:r>
    </w:p>
    <w:p w:rsidR="00AC2FBE" w:rsidRPr="00AC2FBE" w:rsidRDefault="00AC2FBE" w:rsidP="00AC2FBE">
      <w:pPr>
        <w:pStyle w:val="a4"/>
        <w:spacing w:before="0" w:beforeAutospacing="0" w:after="0" w:afterAutospacing="0" w:line="276" w:lineRule="auto"/>
        <w:jc w:val="both"/>
        <w:rPr>
          <w:rFonts w:asciiTheme="majorHAnsi" w:hAnsiTheme="majorHAnsi" w:cs="Arial"/>
          <w:sz w:val="28"/>
          <w:szCs w:val="28"/>
          <w:lang w:val="en-US"/>
        </w:rPr>
      </w:pPr>
      <w:r>
        <w:rPr>
          <w:rFonts w:asciiTheme="majorHAnsi" w:hAnsiTheme="majorHAnsi" w:cs="Arial"/>
          <w:sz w:val="28"/>
          <w:szCs w:val="28"/>
          <w:lang w:val="en-US"/>
        </w:rPr>
        <w:tab/>
      </w:r>
      <w:r w:rsidRPr="00AC2FBE">
        <w:rPr>
          <w:rFonts w:asciiTheme="majorHAnsi" w:hAnsiTheme="majorHAnsi" w:cs="Arial"/>
          <w:sz w:val="28"/>
          <w:szCs w:val="28"/>
          <w:lang w:val="en-US"/>
        </w:rPr>
        <w:t>Simply put, inclusion is about ensuring that everyone feels valued and respected as an individual.</w:t>
      </w:r>
    </w:p>
    <w:p w:rsidR="00AC2FBE" w:rsidRPr="00AC2FBE" w:rsidRDefault="00AC2FBE" w:rsidP="00AC2FBE">
      <w:pPr>
        <w:pStyle w:val="a4"/>
        <w:spacing w:before="0" w:beforeAutospacing="0" w:after="0" w:afterAutospacing="0" w:line="276" w:lineRule="auto"/>
        <w:jc w:val="both"/>
        <w:rPr>
          <w:rFonts w:asciiTheme="majorHAnsi" w:hAnsiTheme="majorHAnsi" w:cs="Arial"/>
          <w:sz w:val="28"/>
          <w:szCs w:val="28"/>
          <w:lang w:val="uk-UA"/>
        </w:rPr>
      </w:pPr>
      <w:r>
        <w:rPr>
          <w:rFonts w:asciiTheme="majorHAnsi" w:hAnsiTheme="majorHAnsi" w:cs="Arial"/>
          <w:sz w:val="28"/>
          <w:szCs w:val="28"/>
          <w:lang w:val="en-US"/>
        </w:rPr>
        <w:tab/>
      </w:r>
      <w:r w:rsidRPr="00AC2FBE">
        <w:rPr>
          <w:rFonts w:asciiTheme="majorHAnsi" w:hAnsiTheme="majorHAnsi" w:cs="Arial"/>
          <w:sz w:val="28"/>
          <w:szCs w:val="28"/>
          <w:lang w:val="en-US"/>
        </w:rPr>
        <w:t>Many people use the words inclusion, diversity, equality and even equity interchangeably.</w:t>
      </w:r>
    </w:p>
    <w:p w:rsidR="00AC2FBE" w:rsidRPr="00AC2FBE" w:rsidRDefault="00AC2FBE" w:rsidP="00AC2FBE">
      <w:pPr>
        <w:pStyle w:val="a4"/>
        <w:spacing w:before="0" w:beforeAutospacing="0" w:after="0" w:afterAutospacing="0" w:line="276" w:lineRule="auto"/>
        <w:jc w:val="both"/>
        <w:rPr>
          <w:rFonts w:asciiTheme="majorHAnsi" w:hAnsiTheme="majorHAnsi" w:cs="Arial"/>
          <w:sz w:val="28"/>
          <w:szCs w:val="28"/>
          <w:lang w:val="en-US"/>
        </w:rPr>
      </w:pPr>
      <w:r>
        <w:rPr>
          <w:rStyle w:val="a5"/>
          <w:rFonts w:asciiTheme="majorHAnsi" w:hAnsiTheme="majorHAnsi" w:cs="Arial"/>
          <w:sz w:val="28"/>
          <w:szCs w:val="28"/>
          <w:lang w:val="en-US"/>
        </w:rPr>
        <w:tab/>
      </w:r>
      <w:r w:rsidRPr="00AC2FBE">
        <w:rPr>
          <w:rStyle w:val="a5"/>
          <w:rFonts w:asciiTheme="majorHAnsi" w:hAnsiTheme="majorHAnsi" w:cs="Arial"/>
          <w:sz w:val="28"/>
          <w:szCs w:val="28"/>
          <w:lang w:val="en-US"/>
        </w:rPr>
        <w:t>Equality</w:t>
      </w:r>
      <w:r w:rsidRPr="00AC2FBE">
        <w:rPr>
          <w:rFonts w:asciiTheme="majorHAnsi" w:hAnsiTheme="majorHAnsi" w:cs="Arial"/>
          <w:sz w:val="28"/>
          <w:szCs w:val="28"/>
          <w:lang w:val="en-US"/>
        </w:rPr>
        <w:t> is about the fair treatment of everyone.</w:t>
      </w:r>
    </w:p>
    <w:p w:rsidR="00AC2FBE" w:rsidRPr="00AC2FBE" w:rsidRDefault="00AC2FBE" w:rsidP="00AC2FBE">
      <w:pPr>
        <w:pStyle w:val="a4"/>
        <w:spacing w:before="0" w:beforeAutospacing="0" w:after="0" w:afterAutospacing="0" w:line="276" w:lineRule="auto"/>
        <w:jc w:val="both"/>
        <w:rPr>
          <w:rFonts w:asciiTheme="majorHAnsi" w:hAnsiTheme="majorHAnsi" w:cs="Arial"/>
          <w:sz w:val="28"/>
          <w:szCs w:val="28"/>
          <w:lang w:val="uk-UA"/>
        </w:rPr>
      </w:pPr>
      <w:r>
        <w:rPr>
          <w:rStyle w:val="a5"/>
          <w:rFonts w:asciiTheme="majorHAnsi" w:hAnsiTheme="majorHAnsi" w:cs="Arial"/>
          <w:sz w:val="28"/>
          <w:szCs w:val="28"/>
          <w:lang w:val="en-US"/>
        </w:rPr>
        <w:tab/>
      </w:r>
      <w:r w:rsidRPr="00AC2FBE">
        <w:rPr>
          <w:rStyle w:val="a5"/>
          <w:rFonts w:asciiTheme="majorHAnsi" w:hAnsiTheme="majorHAnsi" w:cs="Arial"/>
          <w:sz w:val="28"/>
          <w:szCs w:val="28"/>
          <w:lang w:val="en-US"/>
        </w:rPr>
        <w:t>Equity</w:t>
      </w:r>
      <w:r w:rsidRPr="00AC2FBE">
        <w:rPr>
          <w:rFonts w:asciiTheme="majorHAnsi" w:hAnsiTheme="majorHAnsi" w:cs="Arial"/>
          <w:sz w:val="28"/>
          <w:szCs w:val="28"/>
          <w:lang w:val="en-US"/>
        </w:rPr>
        <w:t> is about creating equal possible outcomes for everyone because, despite effort and merit, people can experience substantial barriers.</w:t>
      </w:r>
    </w:p>
    <w:p w:rsidR="00AC2FBE" w:rsidRPr="00AC2FBE" w:rsidRDefault="00AC2FBE" w:rsidP="00AC2FBE">
      <w:pPr>
        <w:pStyle w:val="a4"/>
        <w:spacing w:before="0" w:beforeAutospacing="0" w:after="0" w:afterAutospacing="0" w:line="276" w:lineRule="auto"/>
        <w:jc w:val="both"/>
        <w:rPr>
          <w:rFonts w:asciiTheme="majorHAnsi" w:hAnsiTheme="majorHAnsi" w:cs="Arial"/>
          <w:sz w:val="28"/>
          <w:szCs w:val="28"/>
          <w:lang w:val="en-US"/>
        </w:rPr>
      </w:pPr>
      <w:r>
        <w:rPr>
          <w:rStyle w:val="a5"/>
          <w:rFonts w:asciiTheme="majorHAnsi" w:hAnsiTheme="majorHAnsi" w:cs="Arial"/>
          <w:sz w:val="28"/>
          <w:szCs w:val="28"/>
          <w:lang w:val="en-US"/>
        </w:rPr>
        <w:tab/>
      </w:r>
      <w:r w:rsidRPr="00AC2FBE">
        <w:rPr>
          <w:rStyle w:val="a5"/>
          <w:rFonts w:asciiTheme="majorHAnsi" w:hAnsiTheme="majorHAnsi" w:cs="Arial"/>
          <w:sz w:val="28"/>
          <w:szCs w:val="28"/>
          <w:lang w:val="en-US"/>
        </w:rPr>
        <w:t>Diversity</w:t>
      </w:r>
      <w:r w:rsidRPr="00AC2FBE">
        <w:rPr>
          <w:rFonts w:asciiTheme="majorHAnsi" w:hAnsiTheme="majorHAnsi" w:cs="Arial"/>
          <w:sz w:val="28"/>
          <w:szCs w:val="28"/>
          <w:lang w:val="en-US"/>
        </w:rPr>
        <w:t> is the mix of people.</w:t>
      </w:r>
    </w:p>
    <w:p w:rsidR="00AC2FBE" w:rsidRPr="00AC2FBE" w:rsidRDefault="00AC2FBE" w:rsidP="00AC2FBE">
      <w:pPr>
        <w:pStyle w:val="a4"/>
        <w:spacing w:before="0" w:beforeAutospacing="0" w:after="0" w:afterAutospacing="0" w:line="276" w:lineRule="auto"/>
        <w:jc w:val="both"/>
        <w:rPr>
          <w:rFonts w:asciiTheme="majorHAnsi" w:hAnsiTheme="majorHAnsi" w:cs="Arial"/>
          <w:sz w:val="28"/>
          <w:szCs w:val="28"/>
          <w:shd w:val="clear" w:color="auto" w:fill="FFFFFF"/>
          <w:lang w:val="uk-UA"/>
        </w:rPr>
      </w:pPr>
      <w:r>
        <w:rPr>
          <w:rStyle w:val="a5"/>
          <w:rFonts w:asciiTheme="majorHAnsi" w:hAnsiTheme="majorHAnsi" w:cs="Arial"/>
          <w:sz w:val="28"/>
          <w:szCs w:val="28"/>
          <w:lang w:val="en-US"/>
        </w:rPr>
        <w:tab/>
      </w:r>
      <w:r w:rsidRPr="00AC2FBE">
        <w:rPr>
          <w:rStyle w:val="a5"/>
          <w:rFonts w:asciiTheme="majorHAnsi" w:hAnsiTheme="majorHAnsi" w:cs="Arial"/>
          <w:sz w:val="28"/>
          <w:szCs w:val="28"/>
          <w:lang w:val="en-US"/>
        </w:rPr>
        <w:t>Inclusion</w:t>
      </w:r>
      <w:r w:rsidRPr="00AC2FBE">
        <w:rPr>
          <w:rFonts w:asciiTheme="majorHAnsi" w:hAnsiTheme="majorHAnsi" w:cs="Arial"/>
          <w:sz w:val="28"/>
          <w:szCs w:val="28"/>
          <w:lang w:val="en-US"/>
        </w:rPr>
        <w:t> is the culture in which people can feel comfortable and confident to be themselves</w:t>
      </w:r>
      <w:r w:rsidRPr="00AC2FBE">
        <w:rPr>
          <w:rFonts w:asciiTheme="majorHAnsi" w:hAnsiTheme="majorHAnsi" w:cs="Arial"/>
          <w:sz w:val="28"/>
          <w:szCs w:val="28"/>
          <w:lang w:val="uk-UA"/>
        </w:rPr>
        <w:t>.</w:t>
      </w:r>
    </w:p>
    <w:p w:rsidR="00AC2FBE" w:rsidRPr="00AC2FBE" w:rsidRDefault="00AC2FBE" w:rsidP="00AC2FBE">
      <w:pPr>
        <w:spacing w:after="0"/>
        <w:jc w:val="both"/>
        <w:rPr>
          <w:rFonts w:asciiTheme="majorHAnsi" w:hAnsiTheme="majorHAnsi"/>
          <w:sz w:val="28"/>
          <w:szCs w:val="28"/>
          <w:lang w:val="en-US"/>
        </w:rPr>
      </w:pPr>
      <w:r>
        <w:rPr>
          <w:rFonts w:asciiTheme="majorHAnsi" w:hAnsiTheme="majorHAnsi" w:cs="Arial"/>
          <w:sz w:val="28"/>
          <w:szCs w:val="28"/>
          <w:shd w:val="clear" w:color="auto" w:fill="FFFFFF"/>
          <w:lang w:val="en-US"/>
        </w:rPr>
        <w:tab/>
      </w:r>
      <w:r w:rsidRPr="00AC2FBE">
        <w:rPr>
          <w:rFonts w:asciiTheme="majorHAnsi" w:hAnsiTheme="majorHAnsi" w:cs="Arial"/>
          <w:sz w:val="28"/>
          <w:szCs w:val="28"/>
          <w:shd w:val="clear" w:color="auto" w:fill="FFFFFF"/>
          <w:lang w:val="en-US"/>
        </w:rPr>
        <w:t xml:space="preserve">Inclusion is seen as a universal human right. The aim of inclusion is to embrace all people irrespective of race, gender, disability, medical or other need. It is about giving equal access and opportunities and getting rid of </w:t>
      </w:r>
      <w:r w:rsidRPr="00AC2FBE">
        <w:rPr>
          <w:rFonts w:asciiTheme="majorHAnsi" w:hAnsiTheme="majorHAnsi" w:cs="Arial"/>
          <w:sz w:val="28"/>
          <w:szCs w:val="28"/>
          <w:shd w:val="clear" w:color="auto" w:fill="FFFFFF"/>
          <w:lang w:val="en-US"/>
        </w:rPr>
        <w:lastRenderedPageBreak/>
        <w:t>discrimination and intolerance (removal of barriers). It affects all aspects of public life.</w:t>
      </w:r>
    </w:p>
    <w:p w:rsidR="00AC2FBE" w:rsidRPr="00AC2FBE" w:rsidRDefault="00AC2FBE" w:rsidP="00AC2FBE">
      <w:pPr>
        <w:spacing w:after="0"/>
        <w:jc w:val="both"/>
        <w:rPr>
          <w:rFonts w:asciiTheme="majorHAnsi" w:hAnsiTheme="majorHAnsi"/>
          <w:sz w:val="28"/>
          <w:szCs w:val="28"/>
          <w:lang w:val="en-US"/>
        </w:rPr>
      </w:pPr>
      <w:r>
        <w:rPr>
          <w:rFonts w:asciiTheme="majorHAnsi" w:hAnsiTheme="majorHAnsi" w:cs="Arial"/>
          <w:sz w:val="28"/>
          <w:szCs w:val="28"/>
          <w:shd w:val="clear" w:color="auto" w:fill="FFFFFF"/>
          <w:lang w:val="en-US"/>
        </w:rPr>
        <w:tab/>
      </w:r>
      <w:r w:rsidRPr="00AC2FBE">
        <w:rPr>
          <w:rFonts w:asciiTheme="majorHAnsi" w:hAnsiTheme="majorHAnsi" w:cs="Arial"/>
          <w:sz w:val="28"/>
          <w:szCs w:val="28"/>
          <w:shd w:val="clear" w:color="auto" w:fill="FFFFFF"/>
          <w:lang w:val="en-US"/>
        </w:rPr>
        <w:t>There are an estimated 240 million children with disabilities worldwide. Like all children, children with disabilities have ambitions and dreams for their futures. Like all children, they need quality education to develop their skills and realize their full potential.</w:t>
      </w:r>
    </w:p>
    <w:p w:rsidR="00AC2FBE" w:rsidRPr="00AC2FBE" w:rsidRDefault="00AC2FBE" w:rsidP="00AC2FBE">
      <w:pPr>
        <w:pStyle w:val="a4"/>
        <w:spacing w:before="0" w:beforeAutospacing="0" w:after="0" w:afterAutospacing="0" w:line="276" w:lineRule="auto"/>
        <w:jc w:val="both"/>
        <w:rPr>
          <w:rFonts w:asciiTheme="majorHAnsi" w:hAnsiTheme="majorHAnsi" w:cs="Arial"/>
          <w:sz w:val="28"/>
          <w:szCs w:val="28"/>
          <w:lang w:val="en-US"/>
        </w:rPr>
      </w:pPr>
      <w:r>
        <w:rPr>
          <w:rFonts w:asciiTheme="majorHAnsi" w:hAnsiTheme="majorHAnsi" w:cs="Tahoma"/>
          <w:sz w:val="28"/>
          <w:szCs w:val="28"/>
          <w:shd w:val="clear" w:color="auto" w:fill="FFFFFF"/>
          <w:lang w:val="en-US"/>
        </w:rPr>
        <w:tab/>
      </w:r>
      <w:r w:rsidRPr="00AC2FBE">
        <w:rPr>
          <w:rFonts w:asciiTheme="majorHAnsi" w:hAnsiTheme="majorHAnsi" w:cs="Tahoma"/>
          <w:sz w:val="28"/>
          <w:szCs w:val="28"/>
          <w:shd w:val="clear" w:color="auto" w:fill="FFFFFF"/>
          <w:lang w:val="en-US"/>
        </w:rPr>
        <w:t>According to statistics, from 2.5 million students having home education at the institutions of I-IV levels of accreditation, 8000 are people with special needs (disabilities). At older times, the Soviet system operated on the one principle: if you are healthy, then study and work, if you’re sick – don’t bother others. Nowadays, Ukraine has done notable changes: the rights of the disabled on the development, education and rehabilitation are enshrined in many legal acts.</w:t>
      </w:r>
    </w:p>
    <w:p w:rsidR="00AC2FBE" w:rsidRPr="00AC2FBE" w:rsidRDefault="00AC2FBE" w:rsidP="00AC2FBE">
      <w:pPr>
        <w:pStyle w:val="a4"/>
        <w:spacing w:before="0" w:beforeAutospacing="0" w:after="0" w:afterAutospacing="0" w:line="276" w:lineRule="auto"/>
        <w:jc w:val="both"/>
        <w:rPr>
          <w:rFonts w:asciiTheme="majorHAnsi" w:hAnsiTheme="majorHAnsi"/>
          <w:sz w:val="28"/>
          <w:szCs w:val="28"/>
          <w:lang w:val="en-US"/>
        </w:rPr>
      </w:pPr>
      <w:r>
        <w:rPr>
          <w:rFonts w:asciiTheme="majorHAnsi" w:hAnsiTheme="majorHAnsi" w:cs="Arial"/>
          <w:sz w:val="28"/>
          <w:szCs w:val="28"/>
          <w:lang w:val="en-US"/>
        </w:rPr>
        <w:tab/>
      </w:r>
      <w:r w:rsidRPr="00AC2FBE">
        <w:rPr>
          <w:rFonts w:asciiTheme="majorHAnsi" w:hAnsiTheme="majorHAnsi" w:cs="Arial"/>
          <w:sz w:val="28"/>
          <w:szCs w:val="28"/>
          <w:lang w:val="en-US"/>
        </w:rPr>
        <w:t>According to the 2017 </w:t>
      </w:r>
      <w:hyperlink r:id="rId5" w:anchor="_Toc493603858" w:history="1">
        <w:r w:rsidRPr="00AC2FBE">
          <w:rPr>
            <w:rStyle w:val="a6"/>
            <w:rFonts w:asciiTheme="majorHAnsi" w:hAnsiTheme="majorHAnsi" w:cs="Arial"/>
            <w:color w:val="auto"/>
            <w:sz w:val="28"/>
            <w:szCs w:val="28"/>
            <w:u w:val="none"/>
            <w:lang w:val="en-GB"/>
          </w:rPr>
          <w:t>Law on Education</w:t>
        </w:r>
      </w:hyperlink>
      <w:r w:rsidRPr="00AC2FBE">
        <w:rPr>
          <w:rFonts w:asciiTheme="majorHAnsi" w:hAnsiTheme="majorHAnsi" w:cs="Arial"/>
          <w:sz w:val="28"/>
          <w:szCs w:val="28"/>
          <w:lang w:val="en-US"/>
        </w:rPr>
        <w:t xml:space="preserve">, persons with special education needs are those in need of additional permanent or temporary support in order to </w:t>
      </w:r>
      <w:proofErr w:type="spellStart"/>
      <w:r w:rsidRPr="00AC2FBE">
        <w:rPr>
          <w:rFonts w:asciiTheme="majorHAnsi" w:hAnsiTheme="majorHAnsi" w:cs="Arial"/>
          <w:sz w:val="28"/>
          <w:szCs w:val="28"/>
          <w:lang w:val="en-US"/>
        </w:rPr>
        <w:t>fulfil</w:t>
      </w:r>
      <w:proofErr w:type="spellEnd"/>
      <w:r w:rsidRPr="00AC2FBE">
        <w:rPr>
          <w:rFonts w:asciiTheme="majorHAnsi" w:hAnsiTheme="majorHAnsi" w:cs="Arial"/>
          <w:sz w:val="28"/>
          <w:szCs w:val="28"/>
          <w:lang w:val="en-US"/>
        </w:rPr>
        <w:t xml:space="preserve"> their right to education (Art. 1.20). </w:t>
      </w:r>
      <w:r w:rsidRPr="00AC2FBE">
        <w:rPr>
          <w:rFonts w:asciiTheme="majorHAnsi" w:hAnsiTheme="majorHAnsi"/>
          <w:sz w:val="28"/>
          <w:szCs w:val="28"/>
          <w:lang w:val="en-US"/>
        </w:rPr>
        <w:t xml:space="preserve"> </w:t>
      </w:r>
    </w:p>
    <w:p w:rsidR="00AC2FBE" w:rsidRDefault="00AC2FBE">
      <w:pPr>
        <w:rPr>
          <w:rFonts w:asciiTheme="majorHAnsi" w:eastAsia="Times New Roman" w:hAnsiTheme="majorHAnsi" w:cs="Tahoma"/>
          <w:b/>
          <w:bCs/>
          <w:sz w:val="28"/>
          <w:szCs w:val="28"/>
          <w:lang w:val="en-US" w:eastAsia="ru-RU"/>
        </w:rPr>
      </w:pPr>
      <w:r>
        <w:rPr>
          <w:rFonts w:asciiTheme="majorHAnsi" w:hAnsiTheme="majorHAnsi" w:cs="Tahoma"/>
          <w:sz w:val="28"/>
          <w:szCs w:val="28"/>
          <w:lang w:val="en-US"/>
        </w:rPr>
        <w:br w:type="page"/>
      </w:r>
    </w:p>
    <w:p w:rsidR="00AC2FBE" w:rsidRDefault="00AC2FBE" w:rsidP="00AC2FBE">
      <w:pPr>
        <w:pStyle w:val="2"/>
        <w:spacing w:before="0" w:beforeAutospacing="0" w:after="0" w:afterAutospacing="0" w:line="276" w:lineRule="auto"/>
        <w:jc w:val="center"/>
        <w:textAlignment w:val="baseline"/>
        <w:rPr>
          <w:rFonts w:asciiTheme="majorHAnsi" w:hAnsiTheme="majorHAnsi" w:cs="Tahoma"/>
          <w:sz w:val="28"/>
          <w:szCs w:val="28"/>
          <w:lang w:val="en-US"/>
        </w:rPr>
      </w:pPr>
      <w:r w:rsidRPr="00AC2FBE">
        <w:rPr>
          <w:rFonts w:asciiTheme="majorHAnsi" w:hAnsiTheme="majorHAnsi" w:cs="Tahoma"/>
          <w:sz w:val="28"/>
          <w:szCs w:val="28"/>
          <w:lang w:val="en-US"/>
        </w:rPr>
        <w:lastRenderedPageBreak/>
        <w:t>Education is available to all</w:t>
      </w:r>
    </w:p>
    <w:p w:rsidR="00AC2FBE" w:rsidRDefault="00AC2FBE" w:rsidP="00AC2FBE">
      <w:pPr>
        <w:pStyle w:val="2"/>
        <w:spacing w:before="0" w:beforeAutospacing="0" w:after="0" w:afterAutospacing="0" w:line="276" w:lineRule="auto"/>
        <w:jc w:val="center"/>
        <w:textAlignment w:val="baseline"/>
        <w:rPr>
          <w:rFonts w:asciiTheme="majorHAnsi" w:hAnsiTheme="majorHAnsi" w:cs="Tahoma"/>
          <w:sz w:val="28"/>
          <w:szCs w:val="28"/>
          <w:lang w:val="en-US"/>
        </w:rPr>
      </w:pPr>
    </w:p>
    <w:p w:rsidR="00AC2FBE" w:rsidRDefault="00AC2FBE" w:rsidP="00AC2FBE">
      <w:pPr>
        <w:pStyle w:val="2"/>
        <w:spacing w:before="0" w:beforeAutospacing="0" w:after="0" w:afterAutospacing="0" w:line="276" w:lineRule="auto"/>
        <w:jc w:val="center"/>
        <w:textAlignment w:val="baseline"/>
        <w:rPr>
          <w:rFonts w:asciiTheme="majorHAnsi" w:hAnsiTheme="majorHAnsi" w:cs="Tahoma"/>
          <w:sz w:val="28"/>
          <w:szCs w:val="28"/>
          <w:lang w:val="en-US"/>
        </w:rPr>
      </w:pPr>
      <w:r>
        <w:rPr>
          <w:noProof/>
        </w:rPr>
        <w:drawing>
          <wp:inline distT="0" distB="0" distL="0" distR="0">
            <wp:extent cx="5838825" cy="3512058"/>
            <wp:effectExtent l="19050" t="0" r="9525" b="0"/>
            <wp:docPr id="2" name="Рисунок 4" descr="Welcome to Mastery Transcript Consortium® (M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lcome to Mastery Transcript Consortium® (MTC)"/>
                    <pic:cNvPicPr>
                      <a:picLocks noChangeAspect="1" noChangeArrowheads="1"/>
                    </pic:cNvPicPr>
                  </pic:nvPicPr>
                  <pic:blipFill>
                    <a:blip r:embed="rId6"/>
                    <a:srcRect/>
                    <a:stretch>
                      <a:fillRect/>
                    </a:stretch>
                  </pic:blipFill>
                  <pic:spPr bwMode="auto">
                    <a:xfrm>
                      <a:off x="0" y="0"/>
                      <a:ext cx="5845903" cy="3516315"/>
                    </a:xfrm>
                    <a:prstGeom prst="rect">
                      <a:avLst/>
                    </a:prstGeom>
                    <a:noFill/>
                    <a:ln w="9525">
                      <a:noFill/>
                      <a:miter lim="800000"/>
                      <a:headEnd/>
                      <a:tailEnd/>
                    </a:ln>
                  </pic:spPr>
                </pic:pic>
              </a:graphicData>
            </a:graphic>
          </wp:inline>
        </w:drawing>
      </w:r>
    </w:p>
    <w:p w:rsidR="00AC2FBE" w:rsidRPr="00AC2FBE" w:rsidRDefault="00AC2FBE" w:rsidP="00AC2FBE">
      <w:pPr>
        <w:pStyle w:val="2"/>
        <w:spacing w:before="0" w:beforeAutospacing="0" w:after="0" w:afterAutospacing="0" w:line="276" w:lineRule="auto"/>
        <w:jc w:val="center"/>
        <w:textAlignment w:val="baseline"/>
        <w:rPr>
          <w:rFonts w:asciiTheme="majorHAnsi" w:hAnsiTheme="majorHAnsi" w:cs="Tahoma"/>
          <w:sz w:val="28"/>
          <w:szCs w:val="28"/>
          <w:lang w:val="en-US"/>
        </w:rPr>
      </w:pPr>
    </w:p>
    <w:p w:rsidR="00AC2FBE" w:rsidRPr="00AC2FBE" w:rsidRDefault="00AC2FBE" w:rsidP="00AC2FBE">
      <w:pPr>
        <w:pStyle w:val="a4"/>
        <w:spacing w:before="0" w:beforeAutospacing="0" w:after="0" w:afterAutospacing="0" w:line="276" w:lineRule="auto"/>
        <w:jc w:val="both"/>
        <w:textAlignment w:val="baseline"/>
        <w:rPr>
          <w:rFonts w:asciiTheme="majorHAnsi" w:hAnsiTheme="majorHAnsi" w:cs="Tahoma"/>
          <w:sz w:val="28"/>
          <w:szCs w:val="28"/>
          <w:lang w:val="en-US"/>
        </w:rPr>
      </w:pPr>
      <w:r>
        <w:rPr>
          <w:rFonts w:asciiTheme="majorHAnsi" w:hAnsiTheme="majorHAnsi" w:cs="Tahoma"/>
          <w:sz w:val="28"/>
          <w:szCs w:val="28"/>
          <w:lang w:val="en-US"/>
        </w:rPr>
        <w:tab/>
      </w:r>
      <w:r w:rsidRPr="00AC2FBE">
        <w:rPr>
          <w:rFonts w:asciiTheme="majorHAnsi" w:hAnsiTheme="majorHAnsi" w:cs="Tahoma"/>
          <w:sz w:val="28"/>
          <w:szCs w:val="28"/>
          <w:lang w:val="en-US"/>
        </w:rPr>
        <w:t>Support for teaching students with disabilities in institutions of higher education is available in all developed countries. It creates so-called barrier-free university campuses with appropriate buildings, dormitories and other facilities where these students receive technical training, help of psychologists, doctors and social workers. Thus, in Netherlands, students are, above all, equipped with all the necessary technical means which the state pays for. Germany is creating social support funds. In the UK, a special support for students with disabilities is made with the help of state grants.</w:t>
      </w:r>
    </w:p>
    <w:p w:rsidR="00AC2FBE" w:rsidRDefault="00AC2FBE" w:rsidP="00AC2FBE">
      <w:pPr>
        <w:pStyle w:val="2"/>
        <w:spacing w:before="0" w:beforeAutospacing="0" w:after="0" w:afterAutospacing="0" w:line="276" w:lineRule="auto"/>
        <w:jc w:val="both"/>
        <w:textAlignment w:val="baseline"/>
        <w:rPr>
          <w:rFonts w:asciiTheme="majorHAnsi" w:hAnsiTheme="majorHAnsi" w:cs="Tahoma"/>
          <w:sz w:val="28"/>
          <w:szCs w:val="28"/>
          <w:lang w:val="en-US"/>
        </w:rPr>
      </w:pPr>
    </w:p>
    <w:p w:rsidR="00AC2FBE" w:rsidRDefault="00AC2FBE" w:rsidP="00AC2FBE">
      <w:pPr>
        <w:pStyle w:val="2"/>
        <w:spacing w:before="0" w:beforeAutospacing="0" w:after="0" w:afterAutospacing="0" w:line="276" w:lineRule="auto"/>
        <w:jc w:val="center"/>
        <w:textAlignment w:val="baseline"/>
        <w:rPr>
          <w:rFonts w:asciiTheme="majorHAnsi" w:hAnsiTheme="majorHAnsi" w:cs="Tahoma"/>
          <w:sz w:val="28"/>
          <w:szCs w:val="28"/>
          <w:lang w:val="en-US"/>
        </w:rPr>
      </w:pPr>
      <w:r w:rsidRPr="00AC2FBE">
        <w:rPr>
          <w:rFonts w:asciiTheme="majorHAnsi" w:hAnsiTheme="majorHAnsi" w:cs="Tahoma"/>
          <w:sz w:val="28"/>
          <w:szCs w:val="28"/>
          <w:lang w:val="en-US"/>
        </w:rPr>
        <w:t>Individual support</w:t>
      </w:r>
    </w:p>
    <w:p w:rsidR="00AC2FBE" w:rsidRPr="00AC2FBE" w:rsidRDefault="00AC2FBE" w:rsidP="00AC2FBE">
      <w:pPr>
        <w:pStyle w:val="2"/>
        <w:spacing w:before="0" w:beforeAutospacing="0" w:after="0" w:afterAutospacing="0" w:line="276" w:lineRule="auto"/>
        <w:jc w:val="center"/>
        <w:textAlignment w:val="baseline"/>
        <w:rPr>
          <w:rFonts w:asciiTheme="majorHAnsi" w:hAnsiTheme="majorHAnsi" w:cs="Tahoma"/>
          <w:sz w:val="28"/>
          <w:szCs w:val="28"/>
          <w:lang w:val="en-US"/>
        </w:rPr>
      </w:pPr>
    </w:p>
    <w:p w:rsidR="002F6657" w:rsidRPr="00AC2FBE" w:rsidRDefault="00AC2FBE" w:rsidP="00AC2FBE">
      <w:pPr>
        <w:spacing w:after="0"/>
        <w:jc w:val="both"/>
        <w:rPr>
          <w:rFonts w:asciiTheme="majorHAnsi" w:hAnsiTheme="majorHAnsi"/>
          <w:sz w:val="28"/>
          <w:szCs w:val="28"/>
          <w:lang w:val="uk-UA"/>
        </w:rPr>
      </w:pPr>
      <w:r>
        <w:rPr>
          <w:rFonts w:asciiTheme="majorHAnsi" w:hAnsiTheme="majorHAnsi" w:cs="Tahoma"/>
          <w:sz w:val="28"/>
          <w:szCs w:val="28"/>
          <w:lang w:val="en-US"/>
        </w:rPr>
        <w:tab/>
      </w:r>
      <w:r w:rsidRPr="00AC2FBE">
        <w:rPr>
          <w:rFonts w:asciiTheme="majorHAnsi" w:hAnsiTheme="majorHAnsi" w:cs="Tahoma"/>
          <w:sz w:val="28"/>
          <w:szCs w:val="28"/>
          <w:lang w:val="en-US"/>
        </w:rPr>
        <w:t>Of course, every student with disabilities have certain features and limitations that impede learning. To work with such people, specific methods, educational technology and adaptive hardware should be applied to the educational process. Typically, these students are very curious and diligent, but they have some problems like gaps in knowledge, increased fatigue, isolation, low self-esteem vulnerability. However, the pace of learning or the number of lessons can’t be reduced for them because it reduces the quality of training. Thus, the system of support is implemented to their training, comprehensive care and support.</w:t>
      </w:r>
    </w:p>
    <w:sectPr w:rsidR="002F6657" w:rsidRPr="00AC2FBE" w:rsidSect="002F66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C2FBE"/>
    <w:rsid w:val="002F6657"/>
    <w:rsid w:val="00AC2F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FBE"/>
  </w:style>
  <w:style w:type="paragraph" w:styleId="2">
    <w:name w:val="heading 2"/>
    <w:basedOn w:val="a"/>
    <w:link w:val="20"/>
    <w:uiPriority w:val="9"/>
    <w:qFormat/>
    <w:rsid w:val="00AC2F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C2FBE"/>
    <w:rPr>
      <w:rFonts w:ascii="Times New Roman" w:eastAsia="Times New Roman" w:hAnsi="Times New Roman" w:cs="Times New Roman"/>
      <w:b/>
      <w:bCs/>
      <w:sz w:val="36"/>
      <w:szCs w:val="36"/>
      <w:lang w:eastAsia="ru-RU"/>
    </w:rPr>
  </w:style>
  <w:style w:type="table" w:styleId="a3">
    <w:name w:val="Table Grid"/>
    <w:basedOn w:val="a1"/>
    <w:uiPriority w:val="59"/>
    <w:rsid w:val="00AC2F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AC2F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C2FBE"/>
    <w:rPr>
      <w:b/>
      <w:bCs/>
    </w:rPr>
  </w:style>
  <w:style w:type="character" w:styleId="a6">
    <w:name w:val="Hyperlink"/>
    <w:basedOn w:val="a0"/>
    <w:uiPriority w:val="99"/>
    <w:semiHidden/>
    <w:unhideWhenUsed/>
    <w:rsid w:val="00AC2FBE"/>
    <w:rPr>
      <w:color w:val="0000FF"/>
      <w:u w:val="single"/>
    </w:rPr>
  </w:style>
  <w:style w:type="paragraph" w:styleId="a7">
    <w:name w:val="Balloon Text"/>
    <w:basedOn w:val="a"/>
    <w:link w:val="a8"/>
    <w:uiPriority w:val="99"/>
    <w:semiHidden/>
    <w:unhideWhenUsed/>
    <w:rsid w:val="00AC2F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2F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mon.gov.ua/ua/npa/law-education"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495</Words>
  <Characters>2827</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2022-09-24T18:35:00Z</cp:lastPrinted>
  <dcterms:created xsi:type="dcterms:W3CDTF">2022-09-24T18:27:00Z</dcterms:created>
  <dcterms:modified xsi:type="dcterms:W3CDTF">2022-09-24T18:37:00Z</dcterms:modified>
</cp:coreProperties>
</file>