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15" w:rsidRPr="007B2B46" w:rsidRDefault="005319BD" w:rsidP="008322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Лекція 4</w:t>
      </w:r>
      <w:r w:rsidR="00832215" w:rsidRPr="007B2B46">
        <w:rPr>
          <w:rFonts w:ascii="Times New Roman" w:hAnsi="Times New Roman" w:cs="Times New Roman"/>
          <w:b/>
          <w:i/>
          <w:sz w:val="28"/>
          <w:szCs w:val="28"/>
        </w:rPr>
        <w:t>. Міжнародні інформаційні агентства</w:t>
      </w:r>
    </w:p>
    <w:p w:rsidR="00642996" w:rsidRDefault="00642996" w:rsidP="00642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Інформаційні агентства та глобальний медіа-ринок.</w:t>
      </w:r>
    </w:p>
    <w:p w:rsidR="00642996" w:rsidRDefault="00642996" w:rsidP="00642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3449">
        <w:rPr>
          <w:rFonts w:ascii="Times New Roman" w:hAnsi="Times New Roman" w:cs="Times New Roman"/>
          <w:sz w:val="28"/>
          <w:szCs w:val="28"/>
        </w:rPr>
        <w:t>Європейські інформаційні системи.</w:t>
      </w:r>
    </w:p>
    <w:p w:rsidR="00642996" w:rsidRDefault="00642996" w:rsidP="00642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344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449">
        <w:rPr>
          <w:rFonts w:ascii="Times New Roman" w:hAnsi="Times New Roman" w:cs="Times New Roman"/>
          <w:sz w:val="28"/>
          <w:szCs w:val="28"/>
        </w:rPr>
        <w:t>-Європа</w:t>
      </w:r>
    </w:p>
    <w:p w:rsidR="00642996" w:rsidRDefault="00642996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96" w:rsidRDefault="00642996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>Мета лекції</w:t>
      </w:r>
      <w:r>
        <w:rPr>
          <w:rFonts w:ascii="Times New Roman" w:hAnsi="Times New Roman" w:cs="Times New Roman"/>
          <w:sz w:val="28"/>
          <w:szCs w:val="28"/>
        </w:rPr>
        <w:t>: познайомити з поняттям «інформаційні агентства», визначити роль інформаційних агентств у глобальному світі; надати інформацію про європейські інформаційні системи; звернути увагу на особливості інформаційної політики Європейського Союзу; познайомити студентів з проектом е-Європа.</w:t>
      </w:r>
    </w:p>
    <w:p w:rsidR="00D44D7D" w:rsidRDefault="00D44D7D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D7D" w:rsidRDefault="00642996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>Інформаційне агентство</w:t>
      </w:r>
      <w:r w:rsidRPr="00642996">
        <w:rPr>
          <w:rFonts w:ascii="Times New Roman" w:hAnsi="Times New Roman" w:cs="Times New Roman"/>
          <w:sz w:val="28"/>
          <w:szCs w:val="28"/>
        </w:rPr>
        <w:t>, інформац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42996">
        <w:rPr>
          <w:rFonts w:ascii="Times New Roman" w:hAnsi="Times New Roman" w:cs="Times New Roman"/>
          <w:sz w:val="28"/>
          <w:szCs w:val="28"/>
        </w:rPr>
        <w:t>йна аг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2996">
        <w:rPr>
          <w:rFonts w:ascii="Times New Roman" w:hAnsi="Times New Roman" w:cs="Times New Roman"/>
          <w:sz w:val="28"/>
          <w:szCs w:val="28"/>
        </w:rPr>
        <w:t xml:space="preserve">нція (інформагентство)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спеціалізований суб'єкт інформаційної діяльності, зареєстрований як юридична особа у формі інформаційного підприємства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організації, служби, центру, що діє з метою надання інформаційних послуг для ЗМІ.</w:t>
      </w:r>
    </w:p>
    <w:p w:rsid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>Інформаційні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7D02EB" w:rsidRPr="00642996">
        <w:rPr>
          <w:rFonts w:ascii="Times New Roman" w:hAnsi="Times New Roman" w:cs="Times New Roman"/>
          <w:sz w:val="28"/>
          <w:szCs w:val="28"/>
        </w:rPr>
        <w:t>з'явилис</w:t>
      </w:r>
      <w:r w:rsidR="007D02EB">
        <w:rPr>
          <w:rFonts w:ascii="Times New Roman" w:hAnsi="Times New Roman" w:cs="Times New Roman"/>
          <w:sz w:val="28"/>
          <w:szCs w:val="28"/>
        </w:rPr>
        <w:t>ь як</w:t>
      </w:r>
      <w:r w:rsidR="007D02EB" w:rsidRPr="00642996">
        <w:rPr>
          <w:rFonts w:ascii="Times New Roman" w:hAnsi="Times New Roman" w:cs="Times New Roman"/>
          <w:sz w:val="28"/>
          <w:szCs w:val="28"/>
        </w:rPr>
        <w:t xml:space="preserve"> посередники </w:t>
      </w:r>
      <w:r w:rsidRPr="00642996">
        <w:rPr>
          <w:rFonts w:ascii="Times New Roman" w:hAnsi="Times New Roman" w:cs="Times New Roman"/>
          <w:sz w:val="28"/>
          <w:szCs w:val="28"/>
        </w:rPr>
        <w:t>між джерелами інформації та її розповсюджувачами</w:t>
      </w:r>
      <w:r w:rsidR="007D02EB">
        <w:rPr>
          <w:rFonts w:ascii="Times New Roman" w:hAnsi="Times New Roman" w:cs="Times New Roman"/>
          <w:sz w:val="28"/>
          <w:szCs w:val="28"/>
        </w:rPr>
        <w:t xml:space="preserve">. </w:t>
      </w:r>
      <w:r w:rsidRPr="00642996">
        <w:rPr>
          <w:rFonts w:ascii="Times New Roman" w:hAnsi="Times New Roman" w:cs="Times New Roman"/>
          <w:sz w:val="28"/>
          <w:szCs w:val="28"/>
        </w:rPr>
        <w:t>Кожній газеті було невигідно тримати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>власного кореспондента в зарубіжних країнах, дешевше було купити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>інформацію в спеціалізованому на її постачанні агентстві. Вони тоді називалися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>агентствами преси і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>здобули статус світових центрів по збиранню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>інформації, постачаючи нею передплатників (газети, журнали, а в XX столітті й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Pr="00642996">
        <w:rPr>
          <w:rFonts w:ascii="Times New Roman" w:hAnsi="Times New Roman" w:cs="Times New Roman"/>
          <w:sz w:val="28"/>
          <w:szCs w:val="28"/>
        </w:rPr>
        <w:t>радіо та телебачення) у різних державах світу</w:t>
      </w:r>
      <w:r w:rsidR="007D02EB">
        <w:rPr>
          <w:rFonts w:ascii="Times New Roman" w:hAnsi="Times New Roman" w:cs="Times New Roman"/>
          <w:sz w:val="28"/>
          <w:szCs w:val="28"/>
        </w:rPr>
        <w:t>.</w:t>
      </w:r>
    </w:p>
    <w:p w:rsidR="007D02EB" w:rsidRDefault="007D02EB" w:rsidP="007D0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2EB">
        <w:rPr>
          <w:rFonts w:ascii="Times New Roman" w:hAnsi="Times New Roman" w:cs="Times New Roman"/>
          <w:sz w:val="28"/>
          <w:szCs w:val="28"/>
        </w:rPr>
        <w:t>Перші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 xml:space="preserve">світові інформаційні агентства: французьке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2EB">
        <w:rPr>
          <w:rFonts w:ascii="Times New Roman" w:hAnsi="Times New Roman" w:cs="Times New Roman"/>
          <w:sz w:val="28"/>
          <w:szCs w:val="28"/>
        </w:rPr>
        <w:t>Gavas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2EB">
        <w:rPr>
          <w:rFonts w:ascii="Times New Roman" w:hAnsi="Times New Roman" w:cs="Times New Roman"/>
          <w:sz w:val="28"/>
          <w:szCs w:val="28"/>
        </w:rPr>
        <w:t xml:space="preserve">, німецьке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02EB">
        <w:rPr>
          <w:rFonts w:ascii="Times New Roman" w:hAnsi="Times New Roman" w:cs="Times New Roman"/>
          <w:sz w:val="28"/>
          <w:szCs w:val="28"/>
        </w:rPr>
        <w:t>Volf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2E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англійське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02EB">
        <w:rPr>
          <w:rFonts w:ascii="Times New Roman" w:hAnsi="Times New Roman" w:cs="Times New Roman"/>
          <w:sz w:val="28"/>
          <w:szCs w:val="28"/>
        </w:rPr>
        <w:t>Reuters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2EB">
        <w:rPr>
          <w:rFonts w:ascii="Times New Roman" w:hAnsi="Times New Roman" w:cs="Times New Roman"/>
          <w:sz w:val="28"/>
          <w:szCs w:val="28"/>
        </w:rPr>
        <w:t>, поділили між собою світовий інформаційний ринок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 xml:space="preserve">створили картель, </w:t>
      </w:r>
      <w:r>
        <w:rPr>
          <w:rFonts w:ascii="Times New Roman" w:hAnsi="Times New Roman" w:cs="Times New Roman"/>
          <w:sz w:val="28"/>
          <w:szCs w:val="28"/>
        </w:rPr>
        <w:t>щоб</w:t>
      </w:r>
      <w:r w:rsidRPr="007D02EB">
        <w:rPr>
          <w:rFonts w:ascii="Times New Roman" w:hAnsi="Times New Roman" w:cs="Times New Roman"/>
          <w:sz w:val="28"/>
          <w:szCs w:val="28"/>
        </w:rPr>
        <w:t xml:space="preserve"> мати в розпорядженні зведення біржових новин, відомості про курс валют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 xml:space="preserve">світовому ринку і </w:t>
      </w:r>
      <w:r>
        <w:rPr>
          <w:rFonts w:ascii="Times New Roman" w:hAnsi="Times New Roman" w:cs="Times New Roman"/>
          <w:sz w:val="28"/>
          <w:szCs w:val="28"/>
        </w:rPr>
        <w:t>тощо.</w:t>
      </w:r>
    </w:p>
    <w:p w:rsidR="007D02EB" w:rsidRDefault="007D02EB" w:rsidP="007D0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Інформаційні агентства</w:t>
      </w:r>
      <w:r w:rsidRPr="007D02EB">
        <w:rPr>
          <w:rFonts w:ascii="Times New Roman" w:hAnsi="Times New Roman" w:cs="Times New Roman"/>
          <w:sz w:val="28"/>
          <w:szCs w:val="28"/>
        </w:rPr>
        <w:t xml:space="preserve"> охоплюють </w:t>
      </w:r>
      <w:r>
        <w:rPr>
          <w:rFonts w:ascii="Times New Roman" w:hAnsi="Times New Roman" w:cs="Times New Roman"/>
          <w:sz w:val="28"/>
          <w:szCs w:val="28"/>
        </w:rPr>
        <w:t xml:space="preserve">широкий </w:t>
      </w:r>
      <w:r w:rsidRPr="007D02EB">
        <w:rPr>
          <w:rFonts w:ascii="Times New Roman" w:hAnsi="Times New Roman" w:cs="Times New Roman"/>
          <w:sz w:val="28"/>
          <w:szCs w:val="28"/>
        </w:rPr>
        <w:t>спектр послуг по збору, створенню, надання та обробки інформації. Види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сфера надаваних послуг часто визначаються розмірами агентства (кількість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кореспондентів, редакцій, представництв) і політикою керівництва. Найчастіше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агентство складається з мережі редакцій та кореспондентів по країні і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 xml:space="preserve">кордоном. </w:t>
      </w:r>
    </w:p>
    <w:p w:rsidR="007D02EB" w:rsidRDefault="007D02EB" w:rsidP="007D0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2EB">
        <w:rPr>
          <w:rFonts w:ascii="Times New Roman" w:hAnsi="Times New Roman" w:cs="Times New Roman"/>
          <w:sz w:val="28"/>
          <w:szCs w:val="28"/>
        </w:rPr>
        <w:t>У свою чергу виокремлюють світові інформаційні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агентства як такі , що мають глобальний характер діяльності, швидкість збору,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обробки та розповсюдження інформації, стрімкість реагування на технічні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 xml:space="preserve">нововведення, </w:t>
      </w:r>
      <w:r>
        <w:rPr>
          <w:rFonts w:ascii="Times New Roman" w:hAnsi="Times New Roman" w:cs="Times New Roman"/>
          <w:sz w:val="28"/>
          <w:szCs w:val="28"/>
        </w:rPr>
        <w:t>широка</w:t>
      </w:r>
      <w:r w:rsidRPr="007D02EB">
        <w:rPr>
          <w:rFonts w:ascii="Times New Roman" w:hAnsi="Times New Roman" w:cs="Times New Roman"/>
          <w:sz w:val="28"/>
          <w:szCs w:val="28"/>
        </w:rPr>
        <w:t xml:space="preserve"> і всеохоплююча мережа кореспондентів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 xml:space="preserve">представництв, величезні фінансові можливості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2EB">
        <w:rPr>
          <w:rFonts w:ascii="Times New Roman" w:hAnsi="Times New Roman" w:cs="Times New Roman"/>
          <w:sz w:val="28"/>
          <w:szCs w:val="28"/>
        </w:rPr>
        <w:t xml:space="preserve"> роблять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конкурентоспроможність практично недосяжною для національних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2EB">
        <w:rPr>
          <w:rFonts w:ascii="Times New Roman" w:hAnsi="Times New Roman" w:cs="Times New Roman"/>
          <w:sz w:val="28"/>
          <w:szCs w:val="28"/>
        </w:rPr>
        <w:t>регіональних 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2EB" w:rsidRPr="007D02EB" w:rsidRDefault="007D02EB" w:rsidP="007D0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>Провідні світові інформагенції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Ассошіейтед Прес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Афінсько-Македонська агенція новин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Греція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БелаПАН </w:t>
      </w:r>
      <w:r w:rsidR="00323EF8"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Білорусь</w:t>
      </w:r>
      <w:r w:rsidR="00323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Інтерфакс (Інтерфакс-Україна)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Росія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Інформаційне агентство Кьодо </w:t>
      </w:r>
      <w:r w:rsidR="007D02EB"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Японія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РБК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Росія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Рейтер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Велика Британія 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lastRenderedPageBreak/>
        <w:t xml:space="preserve">Сіньхуа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КНР</w:t>
      </w:r>
      <w:r>
        <w:rPr>
          <w:rFonts w:ascii="Times New Roman" w:hAnsi="Times New Roman" w:cs="Times New Roman"/>
          <w:sz w:val="28"/>
          <w:szCs w:val="28"/>
        </w:rPr>
        <w:t xml:space="preserve"> (Китайська народна республіка)</w:t>
      </w:r>
    </w:p>
    <w:p w:rsidR="00642996" w:rsidRP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Франс Прес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Франція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Default="00642996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96">
        <w:rPr>
          <w:rFonts w:ascii="Times New Roman" w:hAnsi="Times New Roman" w:cs="Times New Roman"/>
          <w:sz w:val="28"/>
          <w:szCs w:val="28"/>
        </w:rPr>
        <w:t xml:space="preserve">Аль-Джазіра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996">
        <w:rPr>
          <w:rFonts w:ascii="Times New Roman" w:hAnsi="Times New Roman" w:cs="Times New Roman"/>
          <w:sz w:val="28"/>
          <w:szCs w:val="28"/>
        </w:rPr>
        <w:t xml:space="preserve"> Катар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6" w:rsidRDefault="00642996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76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 xml:space="preserve">За останні роки Європейський союз розробляє великомасштабні IT-системи для збору, обробки та обміну інформацією, що має відношення до зовнішнього управління кордонами. 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Європейських інформаційних систем належать </w:t>
      </w:r>
      <w:r w:rsidRPr="005319BD">
        <w:rPr>
          <w:rFonts w:ascii="Times New Roman" w:hAnsi="Times New Roman" w:cs="Times New Roman"/>
          <w:sz w:val="28"/>
          <w:szCs w:val="28"/>
        </w:rPr>
        <w:t>Шенгенська Інформаційна Система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319BD">
        <w:rPr>
          <w:rFonts w:ascii="Times New Roman" w:hAnsi="Times New Roman" w:cs="Times New Roman"/>
          <w:sz w:val="28"/>
          <w:szCs w:val="28"/>
        </w:rPr>
        <w:t>ізова інформаційна система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9BD">
        <w:rPr>
          <w:rFonts w:ascii="Times New Roman" w:hAnsi="Times New Roman" w:cs="Times New Roman"/>
          <w:sz w:val="28"/>
          <w:szCs w:val="28"/>
        </w:rPr>
        <w:t xml:space="preserve"> Європейська інформаційна система про лісові пожежі</w:t>
      </w:r>
      <w:r w:rsidR="00E41C17">
        <w:rPr>
          <w:rFonts w:ascii="Times New Roman" w:hAnsi="Times New Roman" w:cs="Times New Roman"/>
          <w:sz w:val="28"/>
          <w:szCs w:val="28"/>
        </w:rPr>
        <w:t xml:space="preserve">, </w:t>
      </w:r>
      <w:r w:rsidR="00E41C17" w:rsidRPr="00E41C17">
        <w:rPr>
          <w:rFonts w:ascii="Times New Roman" w:hAnsi="Times New Roman" w:cs="Times New Roman"/>
          <w:sz w:val="28"/>
          <w:szCs w:val="28"/>
        </w:rPr>
        <w:t>інформаційна система «</w:t>
      </w:r>
      <w:r w:rsidR="00E41C17">
        <w:rPr>
          <w:rFonts w:ascii="Times New Roman" w:hAnsi="Times New Roman" w:cs="Times New Roman"/>
          <w:sz w:val="28"/>
          <w:szCs w:val="28"/>
        </w:rPr>
        <w:t>Е</w:t>
      </w:r>
      <w:r w:rsidR="00E41C17" w:rsidRPr="00E41C17">
        <w:rPr>
          <w:rFonts w:ascii="Times New Roman" w:hAnsi="Times New Roman" w:cs="Times New Roman"/>
          <w:sz w:val="28"/>
          <w:szCs w:val="28"/>
        </w:rPr>
        <w:t>uropass»</w:t>
      </w:r>
      <w:r w:rsidR="00105D0B">
        <w:rPr>
          <w:rFonts w:ascii="Times New Roman" w:hAnsi="Times New Roman" w:cs="Times New Roman"/>
          <w:sz w:val="28"/>
          <w:szCs w:val="28"/>
        </w:rPr>
        <w:t xml:space="preserve"> та інші.</w:t>
      </w:r>
      <w:r w:rsidR="00E4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b/>
          <w:sz w:val="28"/>
          <w:szCs w:val="28"/>
        </w:rPr>
        <w:t>Шенгенська Інформаційна Система</w:t>
      </w:r>
      <w:r w:rsidRPr="005319BD">
        <w:rPr>
          <w:rFonts w:ascii="Times New Roman" w:hAnsi="Times New Roman" w:cs="Times New Roman"/>
          <w:sz w:val="28"/>
          <w:szCs w:val="28"/>
        </w:rPr>
        <w:t xml:space="preserve"> (англ. Schengen Information System, SIS) — урядова база даних Європейського Союзу; використовується європейськими країнами для зберігання і обміну інформації про осіб та предмети, що перетинають кордон з метою дотримання національної безпеки, прикордонного контролю та правоохоронних цілей.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Шенгенська Угода та Шенгенська Конвенція про виконання Угоди дає змогу на створення такого простору (зони), що забезпечує вільне пересування осіб, де на кордонах між державами-членами припиняється перевірка, а у випадку вступу на територію шенгенської зони, на всіх пунктах перетину зовнішніх кордонів контроль та перевірка відбувається за ідентичними правилами.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 xml:space="preserve">Однак, з причини можливих проблем безпеки, що виникатимуть через скасування внутрішніх кордонів, необхідними є </w:t>
      </w:r>
      <w:r w:rsidR="00376C76">
        <w:rPr>
          <w:rFonts w:ascii="Times New Roman" w:hAnsi="Times New Roman" w:cs="Times New Roman"/>
          <w:sz w:val="28"/>
          <w:szCs w:val="28"/>
        </w:rPr>
        <w:t>«</w:t>
      </w:r>
      <w:r w:rsidRPr="005319BD">
        <w:rPr>
          <w:rFonts w:ascii="Times New Roman" w:hAnsi="Times New Roman" w:cs="Times New Roman"/>
          <w:sz w:val="28"/>
          <w:szCs w:val="28"/>
        </w:rPr>
        <w:t>вирівнювальні</w:t>
      </w:r>
      <w:r w:rsidR="00376C76">
        <w:rPr>
          <w:rFonts w:ascii="Times New Roman" w:hAnsi="Times New Roman" w:cs="Times New Roman"/>
          <w:sz w:val="28"/>
          <w:szCs w:val="28"/>
        </w:rPr>
        <w:t>»</w:t>
      </w:r>
      <w:r w:rsidRPr="005319BD">
        <w:rPr>
          <w:rFonts w:ascii="Times New Roman" w:hAnsi="Times New Roman" w:cs="Times New Roman"/>
          <w:sz w:val="28"/>
          <w:szCs w:val="28"/>
        </w:rPr>
        <w:t xml:space="preserve"> заходи. В рамках цих заходів перевірка на зовнішніх кордонах проводиться за єдиними правилами, на території шенгенського простору органи охорони порядк</w:t>
      </w:r>
      <w:r w:rsidR="00376C76">
        <w:rPr>
          <w:rFonts w:ascii="Times New Roman" w:hAnsi="Times New Roman" w:cs="Times New Roman"/>
          <w:sz w:val="28"/>
          <w:szCs w:val="28"/>
        </w:rPr>
        <w:t>у</w:t>
      </w:r>
      <w:r w:rsidRPr="005319BD">
        <w:rPr>
          <w:rFonts w:ascii="Times New Roman" w:hAnsi="Times New Roman" w:cs="Times New Roman"/>
          <w:sz w:val="28"/>
          <w:szCs w:val="28"/>
        </w:rPr>
        <w:t xml:space="preserve"> окремих держав-членів можуть проводити т. з. </w:t>
      </w:r>
      <w:r w:rsidR="00376C76">
        <w:rPr>
          <w:rFonts w:ascii="Times New Roman" w:hAnsi="Times New Roman" w:cs="Times New Roman"/>
          <w:sz w:val="28"/>
          <w:szCs w:val="28"/>
        </w:rPr>
        <w:t>«</w:t>
      </w:r>
      <w:r w:rsidRPr="005319BD">
        <w:rPr>
          <w:rFonts w:ascii="Times New Roman" w:hAnsi="Times New Roman" w:cs="Times New Roman"/>
          <w:sz w:val="28"/>
          <w:szCs w:val="28"/>
        </w:rPr>
        <w:t>глибинну перевірку</w:t>
      </w:r>
      <w:r w:rsidR="00376C76">
        <w:rPr>
          <w:rFonts w:ascii="Times New Roman" w:hAnsi="Times New Roman" w:cs="Times New Roman"/>
          <w:sz w:val="28"/>
          <w:szCs w:val="28"/>
        </w:rPr>
        <w:t>»</w:t>
      </w:r>
      <w:r w:rsidRPr="005319BD">
        <w:rPr>
          <w:rFonts w:ascii="Times New Roman" w:hAnsi="Times New Roman" w:cs="Times New Roman"/>
          <w:sz w:val="28"/>
          <w:szCs w:val="28"/>
        </w:rPr>
        <w:t>, під час якої можуть перевіряти громадян держав-членів та громадян третіх країн. Проведення цих заходів стає можливим за допомогою Шенгенської Інформаційної Системи, що виникла з даних, повідомлених державами-членами шенгенського простору, та яка призначена для обміну даними між згаданими державами.</w:t>
      </w:r>
    </w:p>
    <w:p w:rsidR="005319BD" w:rsidRPr="005319BD" w:rsidRDefault="005319BD" w:rsidP="00376C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У 1995 році співпрацю в рамках Шенгенської Інформаційної Системи розпочали Франція, Німеччина, Бельгія, Голландія та Люксембург</w:t>
      </w:r>
      <w:r w:rsidR="00376C76">
        <w:rPr>
          <w:rFonts w:ascii="Times New Roman" w:hAnsi="Times New Roman" w:cs="Times New Roman"/>
          <w:sz w:val="28"/>
          <w:szCs w:val="28"/>
        </w:rPr>
        <w:t xml:space="preserve">. </w:t>
      </w:r>
      <w:r w:rsidRPr="005319BD">
        <w:rPr>
          <w:rFonts w:ascii="Times New Roman" w:hAnsi="Times New Roman" w:cs="Times New Roman"/>
          <w:sz w:val="28"/>
          <w:szCs w:val="28"/>
        </w:rPr>
        <w:t xml:space="preserve">У грудні 2007 року шенгенська зона розширилась до 24 членів. 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t>База даних Шенгенської Інформаційної Системи</w:t>
      </w:r>
      <w:r w:rsid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76">
        <w:rPr>
          <w:rFonts w:ascii="Times New Roman" w:hAnsi="Times New Roman" w:cs="Times New Roman"/>
          <w:sz w:val="28"/>
          <w:szCs w:val="28"/>
        </w:rPr>
        <w:t>м</w:t>
      </w:r>
      <w:r w:rsidRPr="005319BD">
        <w:rPr>
          <w:rFonts w:ascii="Times New Roman" w:hAnsi="Times New Roman" w:cs="Times New Roman"/>
          <w:sz w:val="28"/>
          <w:szCs w:val="28"/>
        </w:rPr>
        <w:t>істить такі дані: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попереджувальні сигнали встановлення заборони на в’їзд та перебування стосовно громадян третіх країн, тобто громадян держав, які не є членами шенгенського простору,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попереджувальні сигнали стосовно осіб, які підлягають арешту та передачі або видачі на підставі європейського наказу щодо затримання,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попереджувальні сигнали відносно зниклих осіб,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попереджувальні сигнали стосовно осіб, які перебувають у судовому розшуку (осіб, які викликані судом під час провадження кримінальної справи; осіб, яких закликано відбути покарання, свідків),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попереджувальні сигнали, подані з метою прихованого спостереження або цільової перевірки відносно осіб та предметів,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попереджувальні сигнали, що стосуються предметів, що підлягають арешту, або таких, що підлягають використанню як доказ під час провадження кримінальної справи.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Шенгенська Інформаційна Система забезпечує доступ до попереджувальних сигналів, занесених стосовно осіб, предметів та технічних транспортних засобів – суворо пов’язаний з метою, відповідно до компетенції – визначеним правоохоронним органам, органам контролювання та перевірки кордонів, органам іноземного інспекціювання, органам видачі віз, митним органам та органам юстиції, а також Європейському Управлінню Поліції (Europol) та Європейському Підрозділу Співпраці у справах юстиції (Eurojust).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Відповідно до загальних принципів захисту даних Шенгенська Інформаційна Система визнає право осіб на те, щоб вони: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мали доступ до даних, що містяться стосовно них у Шенгенській Інформаційній Системі,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просили виправлення або видалення невірних даних,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звертались до суду або компетентних органів з проханням виправити або видалити дані, або встановити компенсацію.</w:t>
      </w:r>
    </w:p>
    <w:p w:rsid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Наведеними вище правами, особи – яких це стосується – можуть користуватись у будь-якій державі-члені шенгенської зони. Перевірка правомірності даних, введених у Шенгенську Інформаційну Систему, визначається на підставі національного права тієї держави-члена, яка вводить наведені дані в Шенгенську Інформаційну Систему[</w:t>
      </w:r>
    </w:p>
    <w:p w:rsidR="005319BD" w:rsidRDefault="005319BD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76" w:rsidRDefault="00376C76" w:rsidP="00376C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b/>
          <w:sz w:val="28"/>
          <w:szCs w:val="28"/>
        </w:rPr>
        <w:t>ВІЗОВА ІНФОРМАЦІЙНА СИСТЕМА</w:t>
      </w:r>
      <w:r w:rsidRPr="005319BD">
        <w:rPr>
          <w:rFonts w:ascii="Times New Roman" w:hAnsi="Times New Roman" w:cs="Times New Roman"/>
          <w:sz w:val="28"/>
          <w:szCs w:val="28"/>
        </w:rPr>
        <w:t xml:space="preserve"> (СИСТЕМА VIS) Технологія може грати ключову роль в поліпшенні і зміцненні зовнішніх кордонів. Інформаційна система VIS, що підтримує здійснення спільної візової політики ЄС, є одним з таких інструментів. </w:t>
      </w:r>
    </w:p>
    <w:p w:rsidR="00376C76" w:rsidRDefault="00376C76" w:rsidP="00376C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Інформаційна система Visa (VIS) дозволяє країнам-членам Шенгенської угоди обмінюватися даними про візи. Вона складається з центральної інформаційної системи та інфраструктури зв'язку, яка з'єднує цю центральну систему з національними системами.</w:t>
      </w:r>
    </w:p>
    <w:p w:rsidR="00376C76" w:rsidRDefault="00376C76" w:rsidP="00376C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VIS з'єднує консульства в країнах, які не є членами Європейського союзу, і всі зовнішні пункти перетину кордону країн-членів Шенгенської угоди. Система VIS обробляє дані і рішення, що стосуються заявок на короткострокові візи або транзит через Шенгенську зону.</w:t>
      </w:r>
    </w:p>
    <w:p w:rsidR="00376C76" w:rsidRDefault="00376C76" w:rsidP="00376C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 xml:space="preserve">Система може виконувати біометричні узгодження, в першу чергу відбитків пальців, для ідентифікації відповідної особи і верифікації мети її в'їзду. Положення візової інформаційної системи VIS визначають цілі та функціональні можливості, а також відповідальність за візову інформаційну систему VIS. Вона передбачає умови та процедури для обміну даними про візи між країнами Європейського Союзу (ЄС) і асоційованими країнами, застосовуючи загальну візову політику. Таким чином, полегшуючи розгляд заявок на видачу віз для короткочасного перебування та рішень про продовження, відкликання та анулювання віз, а також перевірку віз, і перевірку та ідентифікацію заявників на видачу віз та їх одержувачів. </w:t>
      </w:r>
    </w:p>
    <w:p w:rsidR="00376C76" w:rsidRDefault="00376C76" w:rsidP="00376C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 xml:space="preserve">Метою Візової інформаційної системи VIS є поліпшення здійснення єдиної візової політики, консульського співробітництва і обміну інформацією між центральними візовими органами з метою: полегшення процедури видачі віз; запобігання торгівлі візами; сприяння боротьбі з шахрайством; сприяння контролю на зовнішніх пунктах перетину кордону та на національних територіях; надання допомоги у виявленні осіб, які не задовольняють вимогам для в'їзду, перебування або проживання на національних територіях країн Шенгенської угоди; сприяння застосуванню Регламенту Дублін II (Правила, які замінюють положення Дублінської конвенції 1990 р.) для визначення країни ЄС, відповідальної за розгляд клопотань про надання притулку громадянам країн, що не входять у ЄС і перевірки таких клопотань; сприяння в запобіганні загрози для внутрішньої безпеки країн ЄС; можливість більш ефективного запобігання та виявлення кримінальних і терористичних загроз. </w:t>
      </w:r>
    </w:p>
    <w:p w:rsidR="00376C76" w:rsidRDefault="00376C76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b/>
          <w:sz w:val="28"/>
          <w:szCs w:val="28"/>
        </w:rPr>
        <w:t>Європейська інформаційна система про лісові пожежі</w:t>
      </w:r>
      <w:r w:rsidRPr="005319BD">
        <w:rPr>
          <w:rFonts w:ascii="Times New Roman" w:hAnsi="Times New Roman" w:cs="Times New Roman"/>
          <w:sz w:val="28"/>
          <w:szCs w:val="28"/>
        </w:rPr>
        <w:t xml:space="preserve"> (англ. European Forest Fire Information System, EFFIS) підтримує служби, відповідальні за охорону лісів від пожеж у ЄС та країнах-сусідах, а також надає Європейській Комісії та Європейському Парламенту актуальну та надійну інформацію про пожежі в Європі.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З 1998 року EFFIS підтримується мережею експертів із країн так званої Експертної групи з лісових пожеж, яка зареєстрована при Генеральному секретаріаті Європейської Комісії. Наразі цю групу складають експерти з 43 країн Європи, Близького Сходу та країн Північної Африки. У 2015 році EFFIS стала одним із компонентів Служб управління надзвичайними ситуаціями в програмі ЄС Copernicus.</w:t>
      </w:r>
    </w:p>
    <w:p w:rsidR="005319BD" w:rsidRPr="005319BD" w:rsidRDefault="005319BD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BD">
        <w:rPr>
          <w:rFonts w:ascii="Times New Roman" w:hAnsi="Times New Roman" w:cs="Times New Roman"/>
          <w:sz w:val="28"/>
          <w:szCs w:val="28"/>
        </w:rPr>
        <w:t>Через EFFIS доступний ряд спеціальних застосунків: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Переглядач поточних ситуацій (онлайн [Архівовано 8 серпня 2021 у Wayback Machine.] )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Пожежні новини ( поточна ситуація [Архівовано 10 серпня 2021 у Wayback Machine.] )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Довгостроковий щомісячний прогноз погоди (онлайн [Архівовано 8 серпня 2021 у Wayback Machine.] )</w:t>
      </w:r>
    </w:p>
    <w:p w:rsidR="005319BD" w:rsidRP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Довгостроковий прогноз погоди на сезонні пожежі (онлайн [Архівовано 8 серпня 2021 у Wayback Machine.] )</w:t>
      </w:r>
    </w:p>
    <w:p w:rsidR="005319BD" w:rsidRDefault="00376C76" w:rsidP="00531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6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7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9BD" w:rsidRPr="005319BD">
        <w:rPr>
          <w:rFonts w:ascii="Times New Roman" w:hAnsi="Times New Roman" w:cs="Times New Roman"/>
          <w:sz w:val="28"/>
          <w:szCs w:val="28"/>
        </w:rPr>
        <w:t>Дані та послуги (онлайн [Архівовано 8 серпня 2021 у Wayback Machine.])</w:t>
      </w:r>
    </w:p>
    <w:p w:rsidR="005319BD" w:rsidRDefault="005319BD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ІНФОРМАЦІЙНА СИСТЕМА «EUROPASS»</w:t>
      </w:r>
      <w:r w:rsidR="00376C76">
        <w:rPr>
          <w:rFonts w:ascii="Times New Roman" w:hAnsi="Times New Roman" w:cs="Times New Roman"/>
          <w:sz w:val="28"/>
          <w:szCs w:val="28"/>
        </w:rPr>
        <w:t xml:space="preserve">, </w:t>
      </w:r>
      <w:r w:rsidRPr="00E41C17">
        <w:rPr>
          <w:rFonts w:ascii="Times New Roman" w:hAnsi="Times New Roman" w:cs="Times New Roman"/>
          <w:sz w:val="28"/>
          <w:szCs w:val="28"/>
        </w:rPr>
        <w:t>метою якої є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допомога у пошуку навчального закладу чи місця роботи у відповідності до рівня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знань людини. Для досягнення поставленої мети, Europass приділяє багато уваги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створенню інструментів для удокументування навичок і кваліфікацій. Ці інструменти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набули широкого розповсюдження через інтернет-інформаційну систему Europass.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Інтернет-ресурс Europass допомагає дорослим людям систематично, лаконічно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та ефективно задокументувати свої знання, навички і кваліфікацію під час пошуку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роботи або навчального закладу. Разом з тим чітко сформульовані та документально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оформлені відомості допомагають роботодавцям знайти кваліфікованих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співробітників, а закладам освіти визначити і запропонувати зміст навчальних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програм для абітурієнтів.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Портфель Europass включає п'ять шаблонів документів: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Резюме (Curriculum Vitae);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Мовний паспорт (Language Passport);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Мобільна Європа (Europass Mobility);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Додаток до сертифікату (Certificate Supplement);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Додаток до диплому (Diploma Supplement) [1].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Резюме (Curriculum Vitae) – допомагає ясно і ефективно представити свої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навички і кваліфікацію, дозволяє створити своє резюме в стандартизованому форматі.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Під час заповнення онлайн-форми резюме необхідно вказати персональні дані, освіту,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трудовий стаж, особисті навички, володіння іноземними мовами, рівень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організаційних та цифрових навичок, навичок спілкування тощо. Резюме можна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зберігати на будь-яких цифрових носіях, а також редагувати та оновлювати.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Мовний паспорт (Language Passport) – інструмент самооцінки рівня знань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іноземних мов і кваліфікації. Мовний паспорт дозволяє самостійно визначити рівень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мовної кваліфікації від А1 до С2. Для об’єктивності оцінки онлайн-платформа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Europass пропонує скористатись спеціальною таблицею оцінки рівня володіння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мовою, у якій детально описано уміння та знання у відповідності до кожного рівня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мовної компетенції.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Мобільна Європа (Europass Mobility) – механізм реєстрації знань та навичок,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отриманих в будь-якій країні Європи з метою забезпечення мобільності у навчанні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або роботі. У додатку потрібно зареєструвати досвід роботи закордоном, академічне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навчання в межах програм обміну студентами, діяльність у недержавних та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неурядових організаціях різних країн.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Додаток до сертифікату (Certificate Supplement) дозволяє детально описати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знання та навички, отримані під час сертифікації додаткової (післядипломної)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професійної освіти. Додаток узагальнює та стандартизує інформацію, яка вже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включена в офіційний сертифікат або надає її роз’яснення, що робить документи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більш зрозумілими та універсальними, особливо для роботодавців або установ за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кордоном.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Додаток до диплому (Diploma Supplement) – описує знання та навички, отримані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після закінчення формального навчання у закладах вищої освіти. Додаток до диплому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систематизує інформацію, яка включена в офіційний диплом про вищу освіту або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надає роз’яснення у відповідності до прийнятих в Європі рамок кваліфікацій. Варто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зазначити, що цей додаток не замінює оригінальний документ про вищу освіту та не</w:t>
      </w:r>
      <w:r w:rsidR="00376C76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гарантує автоматичного визнання рівня освіти в усіх країнах Європейського Союзу.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У кожній країні Європейського Союзу та Європейської економічної зони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створено Національні центри Europass, які забезпечують підтримку користувачів і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відповідають за сертифікацію рівня освіти дорослих, координують всі заходи,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пов'язані з документами Europass. У висновку Європейського парламенту щодо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оцінки роботи Europass зазначено, що місія національних центрів Europass полягає в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популяризації освіти дорослих, інформатизації суспільства про механізми визнання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освіти та надання необхідної інформації про модель роботи Europass. Основними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функціями Національних центрів є: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координація управління документами Europass;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поширення та популяризація Europass;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співпраця з інформаційними центрами для дорослих;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забезпечення роботи онлайн-платформи Europass, а також забезпечення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доступу громадян до «паперових» версій програми Europass;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 виконання функцій національного партнера в європейській мережі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Національних центрів.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Europass підтримує та пропагує доступне використання інформації про навички і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кваліфікації у будь-якій країні Європи. Документи Europass доступні 27 мовами,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забезпечують послідовність та зрозумілість інформації про рівень освіти для різних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країн. За офіційною статистикою з 2005 до 2018 року на веб-сайтах Europass було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понад 126 мільйонів відвідувачів; завантажено понад 93 мільйони шаблонів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документів, з них понад 60 мільйонів Резюме (Curriculum Vitae) були створені в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інтернет-мережі засобами Europass.</w:t>
      </w:r>
    </w:p>
    <w:p w:rsidR="008457F8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У квітні 2018 р. країни Європейського Союзу переглянули рамки Europass та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затвердили оновлену структуру. Нова структура запропонує інтуїтивні, новітні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інструменти, які відображають потреби людей в контексті сучасного ринку праці та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систем освіти й навчання. Також буде створено сервіс, котрий пропонуватиме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послуги, що дозволяють людям ідентифікувати і повідомляти свої навички та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кваліфікацію. Зокрема це будуть розширені інструменти для створення резюме і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портфоліо, а також інструменти самооцінки, для того щоб користувачі могли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зрозуміти цінність своїх знань і навичок. Платформа Europass також включатиме в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себе ряд актуальної інформації про можливості навчання, підвищення кваліфікації і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 xml:space="preserve">корисні поради щодо роботи із сервісами Europass. </w:t>
      </w:r>
    </w:p>
    <w:p w:rsidR="008457F8" w:rsidRDefault="008457F8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F8">
        <w:rPr>
          <w:rFonts w:ascii="Times New Roman" w:hAnsi="Times New Roman" w:cs="Times New Roman"/>
          <w:b/>
          <w:sz w:val="28"/>
          <w:szCs w:val="28"/>
        </w:rPr>
        <w:t>Інформаційні центри ЄС</w:t>
      </w:r>
      <w:r w:rsidRPr="00E41C17">
        <w:rPr>
          <w:rFonts w:ascii="Times New Roman" w:hAnsi="Times New Roman" w:cs="Times New Roman"/>
          <w:sz w:val="28"/>
          <w:szCs w:val="28"/>
        </w:rPr>
        <w:t xml:space="preserve"> </w:t>
      </w:r>
      <w:r w:rsidR="008457F8">
        <w:rPr>
          <w:rFonts w:ascii="Times New Roman" w:hAnsi="Times New Roman" w:cs="Times New Roman"/>
          <w:sz w:val="28"/>
          <w:szCs w:val="28"/>
        </w:rPr>
        <w:t>–</w:t>
      </w:r>
      <w:r w:rsidRPr="00E41C17">
        <w:rPr>
          <w:rFonts w:ascii="Times New Roman" w:hAnsi="Times New Roman" w:cs="Times New Roman"/>
          <w:sz w:val="28"/>
          <w:szCs w:val="28"/>
        </w:rPr>
        <w:t xml:space="preserve"> джерела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інформації щодо ЄС при вищих навчальних закладах, національних бібліотеках та дослідницьких центрах України.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Перші Центри європейської документації були створені ще в 1963 р. Тепер в світі діють більше 600 таких Центрів, які відкрито здебільшого при університетах, національних бібліотеках та дослідницьких центрах.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 xml:space="preserve">Основна мета діяльності інформаційних центрів Європейського Союзу </w:t>
      </w:r>
      <w:r w:rsidR="008457F8">
        <w:rPr>
          <w:rFonts w:ascii="Times New Roman" w:hAnsi="Times New Roman" w:cs="Times New Roman"/>
          <w:sz w:val="28"/>
          <w:szCs w:val="28"/>
        </w:rPr>
        <w:t>–</w:t>
      </w:r>
      <w:r w:rsidRPr="00E41C17">
        <w:rPr>
          <w:rFonts w:ascii="Times New Roman" w:hAnsi="Times New Roman" w:cs="Times New Roman"/>
          <w:sz w:val="28"/>
          <w:szCs w:val="28"/>
        </w:rPr>
        <w:t xml:space="preserve"> поширення</w:t>
      </w:r>
      <w:r w:rsidR="008457F8">
        <w:rPr>
          <w:rFonts w:ascii="Times New Roman" w:hAnsi="Times New Roman" w:cs="Times New Roman"/>
          <w:sz w:val="28"/>
          <w:szCs w:val="28"/>
        </w:rPr>
        <w:t xml:space="preserve"> </w:t>
      </w:r>
      <w:r w:rsidRPr="00E41C17">
        <w:rPr>
          <w:rFonts w:ascii="Times New Roman" w:hAnsi="Times New Roman" w:cs="Times New Roman"/>
          <w:sz w:val="28"/>
          <w:szCs w:val="28"/>
        </w:rPr>
        <w:t>інформації про ЄС та його політику, надання допомоги університетам та дослідницьким центрам в навчанні студентів та проведенні дослідницької роботи з питань європейської інтеграції, а також сприяння участі студентів в дебатах з європейських питань.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Сьогодні в Україні діє 27 інформаційних центри ЄС. Центри розташовані у вищих навчальних закладах 24 міст України: Дніпропетровськ, Кривий Ріг, Київ, Луцьк, Тернопіль, Харків, Херсон, Хмельницький, Чернівці, Суми, Одеса, Сєвєродонецьк, Біла Церква, Вінниця, Острог, Маріуполь, Миколаїв, Івано-Франківськ, Львів, Ужгород, Житомир, Черкаси, Кропивницький та Чернігів.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Всі інформаційні центри Європейського Союзу мають широкий вибір публікацій та матеріалів офіційних установ Європейського Союзу, а також періодичних видань, журналів ЄС та інших матеріалів, що стосуються діяльності ЄС, життя та соціальних стандартів, освіти в країнах ЄС, питань співпраці України та ЄС, та багато інших матеріалів. В інформаційних центрах також можна скористатися можливістю доступу до електронних баз даних, які містять офіційні документи, що приймаються Європейською Комісією, Європейським Парламентом та іншими офіційними установами ЄС.</w:t>
      </w:r>
    </w:p>
    <w:p w:rsidR="00E41C17" w:rsidRPr="00E41C17" w:rsidRDefault="00E41C17" w:rsidP="00E41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17">
        <w:rPr>
          <w:rFonts w:ascii="Times New Roman" w:hAnsi="Times New Roman" w:cs="Times New Roman"/>
          <w:sz w:val="28"/>
          <w:szCs w:val="28"/>
        </w:rPr>
        <w:t>Крім того на базі інформаційних центрів ЄС регулярно проводяться інформаційні заходи для студентів та викладачів з найбільш актуальних питань стосовно діяльності Європейського Союзу, його відносин з Україною, презентації освітніх програм ЄС для студентів та молодих науковців. Користуватись матеріалами Центрів можуть всі бажаючі. Представники інформаційних центрів ЄС нададуть всю необхідну допомогу у пошуку матеріалів та наданні необхідної інформації.</w:t>
      </w:r>
    </w:p>
    <w:p w:rsidR="005319BD" w:rsidRDefault="005319BD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C40" w:rsidRDefault="00926C40" w:rsidP="00642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40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Рада Європи. </w:t>
      </w:r>
      <w:r w:rsidRPr="00926C40">
        <w:rPr>
          <w:rFonts w:ascii="Times New Roman" w:hAnsi="Times New Roman" w:cs="Times New Roman"/>
          <w:sz w:val="28"/>
          <w:szCs w:val="28"/>
          <w:lang w:bidi="uk-UA"/>
        </w:rPr>
        <w:t>Інформаційна політика Ради Європи підтверджує прихильність організації принципам плюралістичної демократії, поваги до інформаційних прав людини, верховенства права, встановлення стандартів у галузі інформаційних прав людини, впровадження європейських стандартів у конвенції для забезпечення демократії в Європі. Мета діяльності організації - становлення вільного, толерантного і справедливого суспільства на основі спільних цінностей, таких, як вільне вираження поглядів, свобода слова та інформаційної діяльності, культурна різноманітність і рівноправність кожної особистості.</w:t>
      </w:r>
    </w:p>
    <w:p w:rsidR="00926C40" w:rsidRDefault="00926C40" w:rsidP="00926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6C40">
        <w:rPr>
          <w:rFonts w:ascii="Times New Roman" w:hAnsi="Times New Roman" w:cs="Times New Roman"/>
          <w:sz w:val="28"/>
          <w:szCs w:val="28"/>
          <w:lang w:bidi="uk-UA"/>
        </w:rPr>
        <w:t>У рамках Організації прийнято документи, які регламентують інформаційні відносини в європейському регіоні: конвенції, декларації, угоди, меморандуми, рекомендації і резолюції, статути, хартії, положення з основних та спеціальних напрямів інформаційної діяльності, зокрема Європейська конвенція прав людини (1950 р., з доповненнями), Європейська конвенція про транскордонне телебачення (1989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  <w:lang w:bidi="uk-UA"/>
        </w:rPr>
        <w:t>р.), конвенції про обмін правовою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  <w:lang w:bidi="uk-UA"/>
        </w:rPr>
        <w:t>інформацією, загальні засади міжнародного співробітництва в Європі, заборону аудіовідео-піратства тощо. Розробляються нові регіональні документи про регулювання інформаційних потоків у Інтернеті, охорону інформаційної інтелектуальної власності, заборону дискримінації за інформаційною ознакою, про використання засобів масової комунікації в політичних та виборчих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926C40">
        <w:rPr>
          <w:rFonts w:ascii="Times New Roman" w:hAnsi="Times New Roman" w:cs="Times New Roman"/>
          <w:sz w:val="28"/>
          <w:szCs w:val="28"/>
          <w:lang w:bidi="uk-UA"/>
        </w:rPr>
        <w:t>процесах.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Європейська Комісія 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грудн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1999 р. започаткувала нову політичну ініціативу щодо прискорення перетворення Європи на інформаційне суспільство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«Електронна Європа </w:t>
      </w:r>
      <w:r w:rsidR="00796F28">
        <w:rPr>
          <w:rFonts w:ascii="Times New Roman" w:hAnsi="Times New Roman" w:cs="Times New Roman"/>
          <w:i/>
          <w:iCs/>
          <w:sz w:val="28"/>
          <w:szCs w:val="28"/>
          <w:lang w:bidi="uk-UA"/>
        </w:rPr>
        <w:t>–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 Інформаційне суспільство для всіх»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(відома як </w:t>
      </w:r>
      <w:r w:rsidRPr="00796F28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«е-Європа»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),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якою пропонувалися амбіційні цілі, що забезпечать вигоди від інформаційного суспільства для усіх європейців. Головними напрямами є: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>•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>надання доступу до цифрових технологій та Інтернету кожному громадянину, кожній оселі, школі, підприємству та державній установі;</w:t>
      </w:r>
    </w:p>
    <w:p w:rsidR="00796F28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>•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подолання цифрової неосвіченості у Європі через культуру підприємництва, відкриту до застосування нових інформаційних технологій; 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>•забезпечення соціальної лояльності до інформаційного суспільства.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>Було виділено такі головні сектори: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>надання молоді переваг від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>впровадження інформаційного суспільства; дешевший доступ до Інтернету; прискорення впровадження електронної комерції; швидкий Інтернет для дослідників і студентів; смарт-карти для безпечного електронного доступу; інвестування високотехнологічних підприємств; надання інвалідам можливостей, що надає інформаційне суспільство; здоров’я он-лайн; інтелектуальний транспорт; впровадження електронного уряду.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Щоб виконати ці завдання, у травні 2000 р. ЄК ухвалила План дій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«Електронна Європа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2002», який визначив три головні цільові напрями дій:</w:t>
      </w:r>
    </w:p>
    <w:p w:rsidR="00C269EE" w:rsidRPr="00C269EE" w:rsidRDefault="00796F28" w:rsidP="00796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дешевший, швидший та безпечніший Інтернет: дешевший і швидший Інтернет-доступ; швидший Інтернет для дослідників і студентів; безпечні мережі і смарт-картки;</w:t>
      </w:r>
    </w:p>
    <w:p w:rsidR="00C269EE" w:rsidRPr="00C269EE" w:rsidRDefault="00796F28" w:rsidP="00796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інвестування в людей і навички: європейська молодь в цифрову добу; робота в економіці, заснованій на знаннях; участь для всіх в економіці, заснованій на знаннях;</w:t>
      </w:r>
    </w:p>
    <w:p w:rsidR="00C269EE" w:rsidRPr="00C269EE" w:rsidRDefault="00796F28" w:rsidP="00796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стимулювання використання Інтернету: прискорення електронної комерції; уряд он-лайн: електронний доступ до суспільних послуг; он-лайнова охорона здоров’я; європейський цифровий вміст для глобальних мереж; інтелектуальні транспортні системи.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У червні 2001 р. додали план дій </w:t>
      </w:r>
      <w:r w:rsidRPr="00796F28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«Електронна Європа+»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для країн-кандидатів з ідентичними завданнями й напрямами.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>Після аналізу результатів ініціативи «е-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>Європа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2002», які виявили певні успіхи і проблеми, було вирішено продовжувати її реалізацію. У травні 2002 р. ЄК підготувала План дій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«е-</w:t>
      </w:r>
      <w:r w:rsidR="00796F28">
        <w:rPr>
          <w:rFonts w:ascii="Times New Roman" w:hAnsi="Times New Roman" w:cs="Times New Roman"/>
          <w:i/>
          <w:iCs/>
          <w:sz w:val="28"/>
          <w:szCs w:val="28"/>
          <w:lang w:bidi="uk-UA"/>
        </w:rPr>
        <w:t>Європа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 2005».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Порівняно з попереднім, цей план містив більш цілеспрямовані дії (особливо це стосувалося введення юридичної бази для забезпечення конкуренції між різними технологіями; використання широкосмугових інфраструктур; створення стимулів для регіонів щодо використання найновіших технологій; розвитку електронних послуг національними адміністраціями, особливо у сфері навчання та охорони здоров’я; окреслено загальні завдання, графік та граничні терміни їх виконання). Мета Плану «е-</w:t>
      </w:r>
      <w:r w:rsidR="00796F28">
        <w:rPr>
          <w:rFonts w:ascii="Times New Roman" w:hAnsi="Times New Roman" w:cs="Times New Roman"/>
          <w:sz w:val="28"/>
          <w:szCs w:val="28"/>
          <w:lang w:bidi="uk-UA"/>
        </w:rPr>
        <w:t>Європа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2005»: стимулювання розвитку безпечних послуг, застосувань і змісту, що базуються на доступній широкосмуговій інфраструктурі. План передбачав такі взаємопов’язані інструменти:</w:t>
      </w:r>
    </w:p>
    <w:p w:rsidR="00C269EE" w:rsidRPr="00C269EE" w:rsidRDefault="00796F28" w:rsidP="00796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політичні заходи для перегляду і прийняття законодавства на національному і європейському рівнях; гарантування, що законодавство не перешкоджає новим послугам; посилення конкуренції і сумісності мереж; поліпшення доступу до різного виду мереж; демонстрації політичного лідерства; </w:t>
      </w:r>
    </w:p>
    <w:p w:rsidR="00C269EE" w:rsidRPr="00C269EE" w:rsidRDefault="00796F28" w:rsidP="00796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полегшення обміну досвідом, позитивними практиками і демонстраційними проектами;</w:t>
      </w:r>
    </w:p>
    <w:p w:rsidR="00C269EE" w:rsidRPr="00C269EE" w:rsidRDefault="00796F28" w:rsidP="00796F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проведення моніторингу політичних заходів та їх краще фокусування завдяки вимірюванню прогресу в досягненні завдань і політик у підтриманні завдань; 4) координація існуючих електронних політик для забезпечення синергізму між запропонованими діями .</w:t>
      </w:r>
    </w:p>
    <w:p w:rsidR="00323EF8" w:rsidRDefault="00C269EE" w:rsidP="00323E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Не очікуючи завершення Плану дій «е-Еигора 2005», ЄК запропонувала нову стратегічну ініціативу </w:t>
      </w:r>
      <w:r w:rsidRPr="00796F28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«</w:t>
      </w:r>
      <w:r w:rsidR="00796F28" w:rsidRPr="00796F28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і</w:t>
      </w:r>
      <w:r w:rsidRPr="00796F28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2010 - Європейське інформаційне суспільство заради зростання і зайнятості»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,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зорієнтовану на підтримку відкритої і конкурентоздатної цифрової економіки. В ній ІКТ розглядаються як рушійна сила для поліпшення соціальної включеності і якості життя європейців. Будучи ключовим елементом оновленого «Лісабонського партнерства заради зростання і зайнятості», Стратегія «</w:t>
      </w:r>
      <w:r w:rsidR="00323EF8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>2010» запропонувала три основні пріоритети для її розвитку:</w:t>
      </w:r>
    </w:p>
    <w:p w:rsidR="00C269EE" w:rsidRPr="00C269EE" w:rsidRDefault="00323EF8" w:rsidP="00323E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формування єдиного європейського інформаційного простору, який забезпечує вільний і конкурентоздатний внутрішній ринок для інформаційного суспільства і медіа;</w:t>
      </w:r>
    </w:p>
    <w:p w:rsidR="00C269EE" w:rsidRPr="00C269EE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посилення інновацій та інвестицій в ІКТ-дослідження для сприяння економічному зростанню і збільшенню та поліпшенню робочих місць;</w:t>
      </w:r>
    </w:p>
    <w:p w:rsidR="00C269EE" w:rsidRPr="00C269EE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досягнення інклюзивного європейського інформаційного суспільства, яке сприяє економічному зростанню і зайнятості в спосіб, узгоджений зі стійким розвитком, і в якому краще визначаються пріоритети суспільних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C269EE" w:rsidRPr="00C269EE">
        <w:rPr>
          <w:rFonts w:ascii="Times New Roman" w:hAnsi="Times New Roman" w:cs="Times New Roman"/>
          <w:sz w:val="28"/>
          <w:szCs w:val="28"/>
          <w:lang w:bidi="uk-UA"/>
        </w:rPr>
        <w:t>послуг і якості життя 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У травні 2010 р. представлено </w:t>
      </w:r>
      <w:r w:rsidRPr="00323EF8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«Цифровий порядок денний для Європи»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>(для розвитку цифрової економіки) - одну з семи флагманських ініціатив стратегії «Європа 2020». Порядок денний містить сім стовпів:</w:t>
      </w:r>
    </w:p>
    <w:p w:rsidR="00C269EE" w:rsidRPr="00C269EE" w:rsidRDefault="00C269EE" w:rsidP="00C269E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для створення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єдиного цифрового ринку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323EF8">
        <w:rPr>
          <w:rFonts w:ascii="Times New Roman" w:hAnsi="Times New Roman" w:cs="Times New Roman"/>
          <w:sz w:val="28"/>
          <w:szCs w:val="28"/>
          <w:lang w:bidi="uk-UA"/>
        </w:rPr>
        <w:t>–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зняття</w:t>
      </w:r>
      <w:r w:rsidR="00323EF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>бар’єрів і створення єдиних правил для вільного поширення он-лайн-послуг та розваг за межі національних кордонів, створення єдиного простору он-лайн-платежів, розвитку бізнесу завантаження музики, захисту споживачів ЄС в кіберпросторі;</w:t>
      </w:r>
    </w:p>
    <w:p w:rsidR="00C269EE" w:rsidRPr="00C269EE" w:rsidRDefault="00C269EE" w:rsidP="00C269E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для розвитку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інтероперабельності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(експлуатаційної сумісності)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і стандартів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- покращання нормативних процедур та підвищення сумісності для досягнення безперешкодної взаємодії численних ІТ-пристроїв і застосунків, сховищ даних і послуг;</w:t>
      </w:r>
    </w:p>
    <w:p w:rsidR="00105D0B" w:rsidRDefault="00C269EE" w:rsidP="00F6025A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для розвитку </w:t>
      </w:r>
      <w:r w:rsidRPr="00105D0B">
        <w:rPr>
          <w:rFonts w:ascii="Times New Roman" w:hAnsi="Times New Roman" w:cs="Times New Roman"/>
          <w:i/>
          <w:iCs/>
          <w:sz w:val="28"/>
          <w:szCs w:val="28"/>
          <w:lang w:bidi="uk-UA"/>
        </w:rPr>
        <w:t>довіри і безпеки</w:t>
      </w:r>
      <w:r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 користувачів он-лайн-транзакцій - зменшення загроз від шкідливого програмного забезпечення, скоординована європейська відповідь на кібератаки, посилені правила щодо захисту особових даних;</w:t>
      </w:r>
      <w:r w:rsidR="00105D0B"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C269EE" w:rsidRPr="00105D0B" w:rsidRDefault="00C269EE" w:rsidP="00F6025A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для розвитку </w:t>
      </w:r>
      <w:r w:rsidRPr="00105D0B">
        <w:rPr>
          <w:rFonts w:ascii="Times New Roman" w:hAnsi="Times New Roman" w:cs="Times New Roman"/>
          <w:i/>
          <w:iCs/>
          <w:sz w:val="28"/>
          <w:szCs w:val="28"/>
          <w:lang w:bidi="uk-UA"/>
        </w:rPr>
        <w:t>дуже швидкого Інтернету</w:t>
      </w:r>
      <w:r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 - для телебачення високої чіткості та відеоконференцій, досягнення швидкостей 30 Мбіт/с для всіх користувачів і 100 Мбіт/с, принаймні для 50% користувачів Інтернету до</w:t>
      </w:r>
      <w:r w:rsidR="00323EF8"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105D0B">
        <w:rPr>
          <w:rFonts w:ascii="Times New Roman" w:hAnsi="Times New Roman" w:cs="Times New Roman"/>
          <w:sz w:val="28"/>
          <w:szCs w:val="28"/>
          <w:lang w:bidi="uk-UA"/>
        </w:rPr>
        <w:t>2020</w:t>
      </w:r>
      <w:r w:rsidR="00323EF8"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105D0B">
        <w:rPr>
          <w:rFonts w:ascii="Times New Roman" w:hAnsi="Times New Roman" w:cs="Times New Roman"/>
          <w:sz w:val="28"/>
          <w:szCs w:val="28"/>
          <w:lang w:bidi="uk-UA"/>
        </w:rPr>
        <w:t>р., стимулювання інвестицій і прийняття комплексного плану</w:t>
      </w:r>
      <w:r w:rsidR="00323EF8" w:rsidRPr="00105D0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105D0B">
        <w:rPr>
          <w:rFonts w:ascii="Times New Roman" w:hAnsi="Times New Roman" w:cs="Times New Roman"/>
          <w:sz w:val="28"/>
          <w:szCs w:val="28"/>
          <w:lang w:bidi="uk-UA"/>
        </w:rPr>
        <w:t>радіочастотного спектру;</w:t>
      </w:r>
    </w:p>
    <w:p w:rsidR="00C269EE" w:rsidRPr="00C269EE" w:rsidRDefault="00C269EE" w:rsidP="00C269E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для розвитку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наукових досліджень та інновацій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- залучення найкращих дослідників, створення інфраструктури світового класу, адекватне фінансування, переведення найкращих ідей в форму товарів і послуг, розширення координації та ліквідація розрізнених зусиль Європи;</w:t>
      </w:r>
    </w:p>
    <w:p w:rsidR="00C269EE" w:rsidRPr="00C269EE" w:rsidRDefault="00C269EE" w:rsidP="00C269E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для підвищення </w:t>
      </w:r>
      <w:r w:rsidRPr="00C269EE">
        <w:rPr>
          <w:rFonts w:ascii="Times New Roman" w:hAnsi="Times New Roman" w:cs="Times New Roman"/>
          <w:i/>
          <w:iCs/>
          <w:sz w:val="28"/>
          <w:szCs w:val="28"/>
          <w:lang w:bidi="uk-UA"/>
        </w:rPr>
        <w:t>електронних навичок</w:t>
      </w:r>
      <w:r w:rsidRPr="00C269EE">
        <w:rPr>
          <w:rFonts w:ascii="Times New Roman" w:hAnsi="Times New Roman" w:cs="Times New Roman"/>
          <w:sz w:val="28"/>
          <w:szCs w:val="28"/>
          <w:lang w:bidi="uk-UA"/>
        </w:rPr>
        <w:t xml:space="preserve"> - понад 50% європейців використовують Інтернет щодня, але 30% не використовували його ніколи;</w:t>
      </w:r>
    </w:p>
    <w:p w:rsidR="00C269EE" w:rsidRPr="00323EF8" w:rsidRDefault="00C269EE" w:rsidP="001120EB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23EF8">
        <w:rPr>
          <w:rFonts w:ascii="Times New Roman" w:hAnsi="Times New Roman" w:cs="Times New Roman"/>
          <w:sz w:val="28"/>
          <w:szCs w:val="28"/>
          <w:lang w:bidi="uk-UA"/>
        </w:rPr>
        <w:t xml:space="preserve">для </w:t>
      </w:r>
      <w:r w:rsidRPr="00323EF8">
        <w:rPr>
          <w:rFonts w:ascii="Times New Roman" w:hAnsi="Times New Roman" w:cs="Times New Roman"/>
          <w:i/>
          <w:iCs/>
          <w:sz w:val="28"/>
          <w:szCs w:val="28"/>
          <w:lang w:bidi="uk-UA"/>
        </w:rPr>
        <w:t>використання ІКТ для вирішення соціальних проблем</w:t>
      </w:r>
      <w:r w:rsidRPr="00323EF8">
        <w:rPr>
          <w:rFonts w:ascii="Times New Roman" w:hAnsi="Times New Roman" w:cs="Times New Roman"/>
          <w:sz w:val="28"/>
          <w:szCs w:val="28"/>
          <w:lang w:bidi="uk-UA"/>
        </w:rPr>
        <w:t xml:space="preserve"> - для скорочення споживання енергії, підтримки життя старіючих громадян, революціонізації медичних послуг, підвищення якості державних послуг, оцифрування культурної спадщини Європи для забезпечення он-лайн доступу</w:t>
      </w:r>
      <w:r w:rsidR="00323EF8" w:rsidRPr="00323EF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323EF8">
        <w:rPr>
          <w:rFonts w:ascii="Times New Roman" w:hAnsi="Times New Roman" w:cs="Times New Roman"/>
          <w:sz w:val="28"/>
          <w:szCs w:val="28"/>
          <w:lang w:bidi="uk-UA"/>
        </w:rPr>
        <w:t>для всіх .</w:t>
      </w:r>
    </w:p>
    <w:p w:rsidR="00C269EE" w:rsidRPr="00C269EE" w:rsidRDefault="00C269EE" w:rsidP="00C26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269EE">
        <w:rPr>
          <w:rFonts w:ascii="Times New Roman" w:hAnsi="Times New Roman" w:cs="Times New Roman"/>
          <w:sz w:val="28"/>
          <w:szCs w:val="28"/>
          <w:lang w:bidi="uk-UA"/>
        </w:rPr>
        <w:t>Діяльність ЄС в галузі інформації та комунікації реалізується через основні органи і спеціалізовані структури організації - Європейську Раду, Європейську Комісію, Генеральний Директорат з інформаційного суспільства, Форум інформаційного суспільства ЄС, Генеральний Директорат з освіти і культури та через інформаційні центри у країнах-членах організації та інших.</w:t>
      </w:r>
    </w:p>
    <w:p w:rsidR="00C269EE" w:rsidRDefault="00C269EE" w:rsidP="00C269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B02752E" wp14:editId="1EB830CE">
            <wp:extent cx="6120765" cy="48031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C40" w:rsidRPr="00926C40" w:rsidRDefault="00926C40" w:rsidP="00926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642996" w:rsidRDefault="00323EF8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EF8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. Таким чином, надано інформацію про міжнародні </w:t>
      </w:r>
      <w:r w:rsidRPr="00323EF8">
        <w:rPr>
          <w:rFonts w:ascii="Times New Roman" w:hAnsi="Times New Roman" w:cs="Times New Roman"/>
          <w:sz w:val="28"/>
          <w:szCs w:val="28"/>
        </w:rPr>
        <w:t>інформаційні агентства, визнач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323EF8">
        <w:rPr>
          <w:rFonts w:ascii="Times New Roman" w:hAnsi="Times New Roman" w:cs="Times New Roman"/>
          <w:sz w:val="28"/>
          <w:szCs w:val="28"/>
        </w:rPr>
        <w:t xml:space="preserve"> роль інформаційних агентств у глобальному світі;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Pr="00323EF8">
        <w:rPr>
          <w:rFonts w:ascii="Times New Roman" w:hAnsi="Times New Roman" w:cs="Times New Roman"/>
          <w:sz w:val="28"/>
          <w:szCs w:val="28"/>
        </w:rPr>
        <w:t xml:space="preserve"> особливості інформаційної політики Європейського Союзу; </w:t>
      </w:r>
      <w:r>
        <w:rPr>
          <w:rFonts w:ascii="Times New Roman" w:hAnsi="Times New Roman" w:cs="Times New Roman"/>
          <w:sz w:val="28"/>
          <w:szCs w:val="28"/>
        </w:rPr>
        <w:t>окреслено завдання</w:t>
      </w:r>
      <w:r w:rsidRPr="00323EF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3EF8">
        <w:rPr>
          <w:rFonts w:ascii="Times New Roman" w:hAnsi="Times New Roman" w:cs="Times New Roman"/>
          <w:sz w:val="28"/>
          <w:szCs w:val="28"/>
        </w:rPr>
        <w:t xml:space="preserve"> е-Європа.</w:t>
      </w:r>
    </w:p>
    <w:p w:rsidR="00323EF8" w:rsidRDefault="00323EF8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EF8" w:rsidRPr="00323EF8" w:rsidRDefault="00323EF8" w:rsidP="008322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3EF8">
        <w:rPr>
          <w:rFonts w:ascii="Times New Roman" w:hAnsi="Times New Roman" w:cs="Times New Roman"/>
          <w:b/>
          <w:sz w:val="28"/>
          <w:szCs w:val="28"/>
        </w:rPr>
        <w:t>Питання для самоконтролю.</w:t>
      </w:r>
    </w:p>
    <w:p w:rsidR="00323EF8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0AE8">
        <w:rPr>
          <w:rFonts w:ascii="Times New Roman" w:hAnsi="Times New Roman" w:cs="Times New Roman"/>
          <w:sz w:val="28"/>
          <w:szCs w:val="28"/>
        </w:rPr>
        <w:t>Розкажіть про діяльність світових інформаційних агентств, їх головні завдання.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Назвіть провідні світові інформаційні агентства.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Розкажіть про діяльність ООН щодо інформатизації глобального суспільства.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Охарактеризуйте діяльність ЮНЕСКО в напрямку інформатизації глобального суспільства.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Назвіть основні бази даних ЮНЕСКО.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ОБСЄ та заходи, що сприяють інформатизації світового товариства.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Інформаційна діяльність НАТО, її особливості.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Інформаційна політика Ради Європи.</w:t>
      </w:r>
    </w:p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 «е-Європа», його головні завдання.</w:t>
      </w:r>
    </w:p>
    <w:bookmarkEnd w:id="0"/>
    <w:p w:rsidR="00C30AE8" w:rsidRDefault="00C30AE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F8" w:rsidRPr="00323EF8" w:rsidRDefault="00323EF8" w:rsidP="007D02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EF8">
        <w:rPr>
          <w:rFonts w:ascii="Times New Roman" w:hAnsi="Times New Roman" w:cs="Times New Roman"/>
          <w:b/>
          <w:sz w:val="28"/>
          <w:szCs w:val="28"/>
        </w:rPr>
        <w:t>Література.</w:t>
      </w:r>
    </w:p>
    <w:p w:rsidR="005319BD" w:rsidRDefault="005319BD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19BD">
        <w:rPr>
          <w:rFonts w:ascii="Times New Roman" w:hAnsi="Times New Roman" w:cs="Times New Roman"/>
          <w:sz w:val="28"/>
          <w:szCs w:val="28"/>
        </w:rPr>
        <w:t>Боярська-Хоменко А. В. Інформаційна система «Еuropass» як механізм реалізації ідеї безперервного навчання в європейському союзі / А. В. Боярська-Хоменко // Наукова молодь-2018 : зб. матеріалів VІ Всеукр. наук.-практ. конф. молодих учених, Київ, 16 листоп. 2018 р. / Ін-т інформ. технол. і засобів навч. НАПН України. – Київ : ІІТЗН НАПН України, 2018. – С. 80–83.</w:t>
      </w:r>
      <w:r w:rsidR="00E41C17">
        <w:rPr>
          <w:rFonts w:ascii="Times New Roman" w:hAnsi="Times New Roman" w:cs="Times New Roman"/>
          <w:sz w:val="28"/>
          <w:szCs w:val="28"/>
        </w:rPr>
        <w:t xml:space="preserve"> – Режим доступу: </w:t>
      </w:r>
      <w:r w:rsidR="00E41C17" w:rsidRPr="00E41C17">
        <w:rPr>
          <w:rFonts w:ascii="Times New Roman" w:hAnsi="Times New Roman" w:cs="Times New Roman"/>
          <w:sz w:val="28"/>
          <w:szCs w:val="28"/>
        </w:rPr>
        <w:t>http://dspace.hnpu.edu.ua/handle/123456789/2352</w:t>
      </w:r>
    </w:p>
    <w:p w:rsidR="00642996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02EB" w:rsidRPr="007D02EB">
        <w:rPr>
          <w:rFonts w:ascii="Times New Roman" w:hAnsi="Times New Roman" w:cs="Times New Roman"/>
          <w:sz w:val="28"/>
          <w:szCs w:val="28"/>
        </w:rPr>
        <w:t>Гарматій Ольга</w:t>
      </w:r>
      <w:r w:rsidR="007D02EB">
        <w:rPr>
          <w:rFonts w:ascii="Times New Roman" w:hAnsi="Times New Roman" w:cs="Times New Roman"/>
          <w:sz w:val="28"/>
          <w:szCs w:val="28"/>
        </w:rPr>
        <w:t xml:space="preserve">. </w:t>
      </w:r>
      <w:r w:rsidR="005E3B24" w:rsidRPr="007D02EB">
        <w:rPr>
          <w:rFonts w:ascii="Times New Roman" w:hAnsi="Times New Roman" w:cs="Times New Roman"/>
          <w:sz w:val="28"/>
          <w:szCs w:val="28"/>
        </w:rPr>
        <w:t xml:space="preserve">Інформаційні агентства як об’єкт сучасних праць українських та зарубіжних дослідників </w:t>
      </w:r>
      <w:r w:rsidR="007D02EB" w:rsidRPr="007D02EB">
        <w:rPr>
          <w:rFonts w:ascii="Times New Roman" w:hAnsi="Times New Roman" w:cs="Times New Roman"/>
          <w:sz w:val="28"/>
          <w:szCs w:val="28"/>
        </w:rPr>
        <w:t>// Збірник праць Науково-дослідного інституту пресознавства. Вип.5. 2015. С. 334-347.</w:t>
      </w:r>
    </w:p>
    <w:p w:rsidR="00D44D7D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D7D" w:rsidRPr="00D44D7D">
        <w:rPr>
          <w:rFonts w:ascii="Times New Roman" w:hAnsi="Times New Roman" w:cs="Times New Roman"/>
          <w:sz w:val="28"/>
          <w:szCs w:val="28"/>
        </w:rPr>
        <w:t>Карпчук Н.П. Міжнародна інформація та суспільні комунікації</w:t>
      </w:r>
      <w:r w:rsidR="00D44D7D">
        <w:rPr>
          <w:rFonts w:ascii="Times New Roman" w:hAnsi="Times New Roman" w:cs="Times New Roman"/>
          <w:sz w:val="28"/>
          <w:szCs w:val="28"/>
        </w:rPr>
        <w:t xml:space="preserve"> </w:t>
      </w:r>
      <w:r w:rsidR="00D44D7D" w:rsidRPr="00D44D7D">
        <w:rPr>
          <w:rFonts w:ascii="Times New Roman" w:hAnsi="Times New Roman" w:cs="Times New Roman"/>
          <w:sz w:val="28"/>
          <w:szCs w:val="28"/>
        </w:rPr>
        <w:t>: навч. посіб. для студ. закл. вищ. овіти / Н. П. Карпчук. – Луцьк ;</w:t>
      </w:r>
      <w:r w:rsidR="00D44D7D">
        <w:rPr>
          <w:rFonts w:ascii="Times New Roman" w:hAnsi="Times New Roman" w:cs="Times New Roman"/>
          <w:sz w:val="28"/>
          <w:szCs w:val="28"/>
        </w:rPr>
        <w:t xml:space="preserve"> </w:t>
      </w:r>
      <w:r w:rsidR="00D44D7D" w:rsidRPr="00D44D7D">
        <w:rPr>
          <w:rFonts w:ascii="Times New Roman" w:hAnsi="Times New Roman" w:cs="Times New Roman"/>
          <w:sz w:val="28"/>
          <w:szCs w:val="28"/>
        </w:rPr>
        <w:t>2018. – 514 с.</w:t>
      </w:r>
    </w:p>
    <w:p w:rsidR="00D44D7D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2996" w:rsidRPr="00642996">
        <w:rPr>
          <w:rFonts w:ascii="Times New Roman" w:hAnsi="Times New Roman" w:cs="Times New Roman"/>
          <w:sz w:val="28"/>
          <w:szCs w:val="28"/>
        </w:rPr>
        <w:t>Почепцов Г.Г., Чукут С.А.</w:t>
      </w:r>
      <w:r w:rsidR="00642996">
        <w:rPr>
          <w:rFonts w:ascii="Times New Roman" w:hAnsi="Times New Roman" w:cs="Times New Roman"/>
          <w:sz w:val="28"/>
          <w:szCs w:val="28"/>
        </w:rPr>
        <w:t xml:space="preserve"> </w:t>
      </w:r>
      <w:r w:rsidR="00642996" w:rsidRPr="00642996">
        <w:rPr>
          <w:rFonts w:ascii="Times New Roman" w:hAnsi="Times New Roman" w:cs="Times New Roman"/>
          <w:sz w:val="28"/>
          <w:szCs w:val="28"/>
        </w:rPr>
        <w:t xml:space="preserve">Інформаційна політика: Навчальний посібник. 2-ге вид., стер. </w:t>
      </w:r>
      <w:r w:rsidRPr="007D02EB">
        <w:rPr>
          <w:rFonts w:ascii="Times New Roman" w:hAnsi="Times New Roman" w:cs="Times New Roman"/>
          <w:sz w:val="28"/>
          <w:szCs w:val="28"/>
        </w:rPr>
        <w:t>–</w:t>
      </w:r>
      <w:r w:rsidR="00642996" w:rsidRPr="00642996">
        <w:rPr>
          <w:rFonts w:ascii="Times New Roman" w:hAnsi="Times New Roman" w:cs="Times New Roman"/>
          <w:sz w:val="28"/>
          <w:szCs w:val="28"/>
        </w:rPr>
        <w:t xml:space="preserve"> К.: Знання, 2008. </w:t>
      </w:r>
      <w:r w:rsidRPr="007D02EB">
        <w:rPr>
          <w:rFonts w:ascii="Times New Roman" w:hAnsi="Times New Roman" w:cs="Times New Roman"/>
          <w:sz w:val="28"/>
          <w:szCs w:val="28"/>
        </w:rPr>
        <w:t>–</w:t>
      </w:r>
      <w:r w:rsidR="00642996" w:rsidRPr="00642996">
        <w:rPr>
          <w:rFonts w:ascii="Times New Roman" w:hAnsi="Times New Roman" w:cs="Times New Roman"/>
          <w:sz w:val="28"/>
          <w:szCs w:val="28"/>
        </w:rPr>
        <w:t xml:space="preserve"> 663 с.</w:t>
      </w:r>
    </w:p>
    <w:p w:rsidR="00D44D7D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02EB" w:rsidRPr="007D02EB">
        <w:rPr>
          <w:rFonts w:ascii="Times New Roman" w:hAnsi="Times New Roman" w:cs="Times New Roman"/>
          <w:sz w:val="28"/>
          <w:szCs w:val="28"/>
        </w:rPr>
        <w:t xml:space="preserve">Boyd-Barret Oliver. The international News Agencies. </w:t>
      </w:r>
      <w:r w:rsidRPr="007D02EB">
        <w:rPr>
          <w:rFonts w:ascii="Times New Roman" w:hAnsi="Times New Roman" w:cs="Times New Roman"/>
          <w:sz w:val="28"/>
          <w:szCs w:val="28"/>
        </w:rPr>
        <w:t>–</w:t>
      </w:r>
      <w:r w:rsidR="007D02EB" w:rsidRPr="007D02EB">
        <w:rPr>
          <w:rFonts w:ascii="Times New Roman" w:hAnsi="Times New Roman" w:cs="Times New Roman"/>
          <w:sz w:val="28"/>
          <w:szCs w:val="28"/>
        </w:rPr>
        <w:t xml:space="preserve"> New York, 1980. –</w:t>
      </w:r>
      <w:r w:rsidR="007D02EB">
        <w:rPr>
          <w:rFonts w:ascii="Times New Roman" w:hAnsi="Times New Roman" w:cs="Times New Roman"/>
          <w:sz w:val="28"/>
          <w:szCs w:val="28"/>
        </w:rPr>
        <w:t xml:space="preserve"> </w:t>
      </w:r>
      <w:r w:rsidR="007D02EB" w:rsidRPr="007D02EB">
        <w:rPr>
          <w:rFonts w:ascii="Times New Roman" w:hAnsi="Times New Roman" w:cs="Times New Roman"/>
          <w:sz w:val="28"/>
          <w:szCs w:val="28"/>
        </w:rPr>
        <w:t>348c.</w:t>
      </w:r>
    </w:p>
    <w:p w:rsidR="00323EF8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F8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F8" w:rsidRDefault="00323EF8" w:rsidP="00C30A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AE8">
        <w:rPr>
          <w:rFonts w:ascii="Times New Roman" w:hAnsi="Times New Roman" w:cs="Times New Roman"/>
          <w:b/>
          <w:sz w:val="28"/>
          <w:szCs w:val="28"/>
        </w:rPr>
        <w:t>Глосарій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0AE8">
        <w:rPr>
          <w:rFonts w:ascii="Times New Roman" w:hAnsi="Times New Roman" w:cs="Times New Roman"/>
          <w:sz w:val="28"/>
          <w:szCs w:val="28"/>
        </w:rPr>
        <w:t xml:space="preserve"> інформаційні агентства, інформатизація, інформаційна діяльність, інформаційна політика, «е-Європа»</w:t>
      </w:r>
    </w:p>
    <w:p w:rsidR="00323EF8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F8" w:rsidRDefault="00323EF8" w:rsidP="00323E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B4E" w:rsidRDefault="00BB7B4E"/>
    <w:sectPr w:rsidR="00BB7B4E">
      <w:footerReference w:type="even" r:id="rId8"/>
      <w:footerReference w:type="default" r:id="rId9"/>
      <w:footerReference w:type="firs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F9" w:rsidRDefault="00182CF9" w:rsidP="00C269EE">
      <w:pPr>
        <w:spacing w:after="0" w:line="240" w:lineRule="auto"/>
      </w:pPr>
      <w:r>
        <w:separator/>
      </w:r>
    </w:p>
  </w:endnote>
  <w:endnote w:type="continuationSeparator" w:id="0">
    <w:p w:rsidR="00182CF9" w:rsidRDefault="00182CF9" w:rsidP="00C2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EE" w:rsidRDefault="00C269EE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9975215</wp:posOffset>
              </wp:positionV>
              <wp:extent cx="5474970" cy="262890"/>
              <wp:effectExtent l="0" t="2540" r="635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9EE" w:rsidRDefault="00C269EE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vertAlign w:val="superscript"/>
                            </w:rPr>
                            <w:t>129</w:t>
                          </w:r>
                          <w:r>
                            <w:t xml:space="preserve"> Міжнародна інформація: терміни і коментарі. Навчальний посібник / Макаренко Є. А., Рижков М. М.,</w:t>
                          </w:r>
                        </w:p>
                        <w:p w:rsidR="00C269EE" w:rsidRDefault="00C269EE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Кучмій О. П., Фролова о. М. - Вид. 2-ге, доповн. та переробл. - К.: Центр вільної преси, 2016. - С. 240-241.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85.25pt;margin-top:785.45pt;width:431.1pt;height:20.7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" filled="f" stroked="f">
              <v:textbox style="mso-fit-shape-to-text:t" inset="0,0,0,0">
                <w:txbxContent>
                  <w:p w:rsidR="00C269EE" w:rsidRDefault="00C269EE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vertAlign w:val="superscript"/>
                      </w:rPr>
                      <w:t>129</w:t>
                    </w:r>
                    <w:r>
                      <w:t xml:space="preserve"> Міжнародна інформація: терміни і коментарі. Навчальний посібник / Макаренко Є. А., Рижков М. М.,</w:t>
                    </w:r>
                  </w:p>
                  <w:p w:rsidR="00C269EE" w:rsidRDefault="00C269EE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Кучмій О. П., Фролова о. М. - Вид. 2-ге, доповн. та переробл. - К.: Центр вільної преси, 2016. - С. 240-241.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6998970</wp:posOffset>
              </wp:positionH>
              <wp:positionV relativeFrom="page">
                <wp:posOffset>10456545</wp:posOffset>
              </wp:positionV>
              <wp:extent cx="172085" cy="131445"/>
              <wp:effectExtent l="0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9EE" w:rsidRDefault="00C269EE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" o:spid="_x0000_s1027" type="#_x0000_t202" style="position:absolute;margin-left:551.1pt;margin-top:823.35pt;width:13.55pt;height:10.3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" filled="f" stroked="f">
              <v:textbox style="mso-fit-shape-to-text:t" inset="0,0,0,0">
                <w:txbxContent>
                  <w:p w:rsidR="00C269EE" w:rsidRDefault="00C269EE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EE" w:rsidRDefault="00C269E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EE" w:rsidRDefault="00C269EE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6998970</wp:posOffset>
              </wp:positionH>
              <wp:positionV relativeFrom="page">
                <wp:posOffset>10215880</wp:posOffset>
              </wp:positionV>
              <wp:extent cx="114935" cy="131445"/>
              <wp:effectExtent l="0" t="0" r="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9EE" w:rsidRDefault="00C269EE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51.1pt;margin-top:804.4pt;width:9.05pt;height:10.3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" filled="f" stroked="f">
              <v:textbox style="mso-fit-shape-to-text:t" inset="0,0,0,0">
                <w:txbxContent>
                  <w:p w:rsidR="00C269EE" w:rsidRDefault="00C269EE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F9" w:rsidRDefault="00182CF9" w:rsidP="00C269EE">
      <w:pPr>
        <w:spacing w:after="0" w:line="240" w:lineRule="auto"/>
      </w:pPr>
      <w:r>
        <w:separator/>
      </w:r>
    </w:p>
  </w:footnote>
  <w:footnote w:type="continuationSeparator" w:id="0">
    <w:p w:rsidR="00182CF9" w:rsidRDefault="00182CF9" w:rsidP="00C2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4C93"/>
    <w:multiLevelType w:val="multilevel"/>
    <w:tmpl w:val="C2304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2798E"/>
    <w:multiLevelType w:val="multilevel"/>
    <w:tmpl w:val="30FA4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7511B"/>
    <w:multiLevelType w:val="multilevel"/>
    <w:tmpl w:val="5A084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E38F3"/>
    <w:multiLevelType w:val="multilevel"/>
    <w:tmpl w:val="115AF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15"/>
    <w:rsid w:val="000A1736"/>
    <w:rsid w:val="00105D0B"/>
    <w:rsid w:val="00182CF9"/>
    <w:rsid w:val="00296574"/>
    <w:rsid w:val="00323EF8"/>
    <w:rsid w:val="00376C76"/>
    <w:rsid w:val="005319BD"/>
    <w:rsid w:val="005E3B24"/>
    <w:rsid w:val="006279E0"/>
    <w:rsid w:val="00642996"/>
    <w:rsid w:val="00796F28"/>
    <w:rsid w:val="007D02EB"/>
    <w:rsid w:val="00832215"/>
    <w:rsid w:val="008457F8"/>
    <w:rsid w:val="008A0976"/>
    <w:rsid w:val="00926C40"/>
    <w:rsid w:val="009C55F1"/>
    <w:rsid w:val="00BB7B4E"/>
    <w:rsid w:val="00BC506D"/>
    <w:rsid w:val="00C269EE"/>
    <w:rsid w:val="00C30AE8"/>
    <w:rsid w:val="00D44D7D"/>
    <w:rsid w:val="00D62A16"/>
    <w:rsid w:val="00E41C17"/>
    <w:rsid w:val="00F02766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D724"/>
  <w15:chartTrackingRefBased/>
  <w15:docId w15:val="{58A87C6E-1B83-4D19-BDE5-5858DEE3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1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9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279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279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279E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"/>
    <w:rsid w:val="00926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4">
    <w:name w:val="Сноска_"/>
    <w:basedOn w:val="a0"/>
    <w:link w:val="a5"/>
    <w:rsid w:val="00C269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link w:val="a7"/>
    <w:rsid w:val="00C269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69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4pt">
    <w:name w:val="Основной текст (4) + 4 pt"/>
    <w:basedOn w:val="4"/>
    <w:rsid w:val="00C269EE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paragraph" w:customStyle="1" w:styleId="a5">
    <w:name w:val="Сноска"/>
    <w:basedOn w:val="a"/>
    <w:link w:val="a4"/>
    <w:rsid w:val="00C269E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rsid w:val="00C269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C269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26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9EE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E41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17489</Words>
  <Characters>9969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4</cp:revision>
  <dcterms:created xsi:type="dcterms:W3CDTF">2022-11-03T15:45:00Z</dcterms:created>
  <dcterms:modified xsi:type="dcterms:W3CDTF">2022-11-03T17:40:00Z</dcterms:modified>
</cp:coreProperties>
</file>