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2" w:rsidRDefault="00453572" w:rsidP="00453572">
      <w:pPr>
        <w:ind w:left="142" w:firstLine="425"/>
        <w:jc w:val="center"/>
        <w:rPr>
          <w:b/>
          <w:szCs w:val="28"/>
        </w:rPr>
      </w:pPr>
      <w:proofErr w:type="spellStart"/>
      <w:r>
        <w:rPr>
          <w:b/>
          <w:szCs w:val="28"/>
        </w:rPr>
        <w:t>Індивідуальні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завдання</w:t>
      </w:r>
      <w:proofErr w:type="spellEnd"/>
    </w:p>
    <w:p w:rsidR="00453572" w:rsidRPr="005135A1" w:rsidRDefault="00453572" w:rsidP="00453572">
      <w:pPr>
        <w:tabs>
          <w:tab w:val="left" w:pos="360"/>
        </w:tabs>
        <w:ind w:left="142" w:firstLine="38"/>
        <w:jc w:val="center"/>
        <w:rPr>
          <w:b/>
        </w:rPr>
      </w:pPr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Зміст легенд про життя засновника буддизму.</w:t>
      </w:r>
    </w:p>
    <w:p w:rsidR="00453572" w:rsidRDefault="00453572" w:rsidP="00453572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142" w:firstLine="38"/>
        <w:jc w:val="both"/>
      </w:pPr>
      <w:proofErr w:type="spellStart"/>
      <w:r w:rsidRPr="005135A1">
        <w:t>Етика</w:t>
      </w:r>
      <w:proofErr w:type="spellEnd"/>
      <w:r w:rsidRPr="005135A1">
        <w:t xml:space="preserve"> </w:t>
      </w:r>
      <w:proofErr w:type="spellStart"/>
      <w:r w:rsidRPr="005135A1">
        <w:t>Сократа</w:t>
      </w:r>
      <w:proofErr w:type="spellEnd"/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Співвідношення душі і тіла у Платона (на основі «Федона»)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Вчення про державу Платона та Арістотеля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Погляди Арістотеля на людину як суспільну тварину.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Механіцизм Т. Гобса. Основні ідеї твору “Левіафан”.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36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Заповнити табличку на тему: «Соціально - філософські погляди мислителів від античності до Просвітництва»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iCs/>
          <w:lang w:val="ru-RU"/>
        </w:rPr>
        <w:t>Напишіть ессе-роздум на тему: «Місце категоричного імперативу в сучасному політичному та моральному житті людини».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Імморалізм, переоцінка цінностей, нігілізм, воля до влади у творчості Ф.Ніцше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snapToGrid w:val="0"/>
          <w:lang w:val="ru-RU"/>
        </w:rPr>
      </w:pPr>
      <w:r w:rsidRPr="00453572">
        <w:rPr>
          <w:lang w:val="ru-RU"/>
        </w:rPr>
        <w:t xml:space="preserve">Суть та значення абсурду (на прикладі одного з творів А.Камю: «Чума», «Міф про Сізіфа»).  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Проблема «приречення на свободу» в онтології Жан-Поля Сартра.</w:t>
      </w:r>
    </w:p>
    <w:p w:rsidR="00453572" w:rsidRPr="00D54E34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</w:pPr>
      <w:r w:rsidRPr="00453572">
        <w:rPr>
          <w:snapToGrid w:val="0"/>
          <w:lang w:val="ru-RU"/>
        </w:rPr>
        <w:t xml:space="preserve"> </w:t>
      </w:r>
      <w:proofErr w:type="spellStart"/>
      <w:r w:rsidRPr="005135A1">
        <w:rPr>
          <w:snapToGrid w:val="0"/>
        </w:rPr>
        <w:t>Персоналізм</w:t>
      </w:r>
      <w:proofErr w:type="spellEnd"/>
      <w:r w:rsidRPr="005135A1">
        <w:rPr>
          <w:snapToGrid w:val="0"/>
        </w:rPr>
        <w:t xml:space="preserve"> М. </w:t>
      </w:r>
      <w:proofErr w:type="spellStart"/>
      <w:r w:rsidRPr="005135A1">
        <w:rPr>
          <w:snapToGrid w:val="0"/>
        </w:rPr>
        <w:t>Бердяєва</w:t>
      </w:r>
      <w:proofErr w:type="spellEnd"/>
      <w:r w:rsidRPr="005135A1">
        <w:rPr>
          <w:snapToGrid w:val="0"/>
        </w:rPr>
        <w:t>.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snapToGrid w:val="0"/>
          <w:lang w:val="ru-RU"/>
        </w:rPr>
        <w:t xml:space="preserve">Аналіз книги </w:t>
      </w:r>
      <w:r w:rsidRPr="00453572">
        <w:rPr>
          <w:lang w:val="ru-RU"/>
        </w:rPr>
        <w:t>Ортеги-і-Гасета «Бунт мас»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color w:val="000000"/>
          <w:lang w:val="ru-RU"/>
        </w:rPr>
        <w:t>Проблема кінця історії. – (її оптимістична (Г.Гегель, марксизм, Ф.Фукуяма), песимістична (технофобські концепції, екзистенціалізм0 та теологічна інтерпретації. Концепції постісторії ( Л.Мемфорд, А.Гелен, Ж.Бодріярд, Ж.Ліотар)</w:t>
      </w:r>
    </w:p>
    <w:p w:rsid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</w:pPr>
      <w:proofErr w:type="spellStart"/>
      <w:r w:rsidRPr="005135A1">
        <w:t>Теорія</w:t>
      </w:r>
      <w:proofErr w:type="spellEnd"/>
      <w:r w:rsidRPr="005135A1">
        <w:t xml:space="preserve"> </w:t>
      </w:r>
      <w:proofErr w:type="spellStart"/>
      <w:r w:rsidRPr="005135A1">
        <w:t>індустріального</w:t>
      </w:r>
      <w:proofErr w:type="spellEnd"/>
      <w:r w:rsidRPr="005135A1">
        <w:t xml:space="preserve"> </w:t>
      </w:r>
      <w:proofErr w:type="spellStart"/>
      <w:r w:rsidRPr="005135A1">
        <w:t>суспільства</w:t>
      </w:r>
      <w:proofErr w:type="spellEnd"/>
      <w:r w:rsidRPr="005135A1">
        <w:t xml:space="preserve"> </w:t>
      </w:r>
      <w:proofErr w:type="spellStart"/>
      <w:r w:rsidRPr="005135A1">
        <w:t>Р.Арона</w:t>
      </w:r>
      <w:proofErr w:type="spellEnd"/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Концепція «третьої хвилі» А.Тофлера.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 xml:space="preserve">Основні аргументи книги К. Поппера “Злиденність історицизму”. </w:t>
      </w:r>
    </w:p>
    <w:p w:rsidR="00453572" w:rsidRPr="00453572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  <w:rPr>
          <w:lang w:val="ru-RU"/>
        </w:rPr>
      </w:pPr>
      <w:r w:rsidRPr="00453572">
        <w:rPr>
          <w:lang w:val="ru-RU"/>
        </w:rPr>
        <w:t>Громадянське суспільство, держава, право з соціально-філософських позицій.</w:t>
      </w:r>
    </w:p>
    <w:p w:rsidR="00453572" w:rsidRPr="00BD2B97" w:rsidRDefault="00453572" w:rsidP="00453572">
      <w:pPr>
        <w:numPr>
          <w:ilvl w:val="1"/>
          <w:numId w:val="1"/>
        </w:numPr>
        <w:tabs>
          <w:tab w:val="left" w:pos="540"/>
          <w:tab w:val="num" w:pos="1620"/>
        </w:tabs>
        <w:spacing w:after="0" w:line="240" w:lineRule="auto"/>
        <w:ind w:left="142" w:firstLine="38"/>
        <w:jc w:val="both"/>
      </w:pPr>
      <w:proofErr w:type="spellStart"/>
      <w:r w:rsidRPr="00BD2B97">
        <w:t>Соціокультурна</w:t>
      </w:r>
      <w:proofErr w:type="spellEnd"/>
      <w:r w:rsidRPr="00BD2B97">
        <w:t xml:space="preserve"> </w:t>
      </w:r>
      <w:proofErr w:type="spellStart"/>
      <w:r w:rsidRPr="00BD2B97">
        <w:t>динаміка</w:t>
      </w:r>
      <w:proofErr w:type="spellEnd"/>
      <w:r w:rsidRPr="00BD2B97">
        <w:t xml:space="preserve"> П. </w:t>
      </w:r>
      <w:proofErr w:type="spellStart"/>
      <w:r w:rsidRPr="00BD2B97">
        <w:t>Сорокіна</w:t>
      </w:r>
      <w:proofErr w:type="spellEnd"/>
    </w:p>
    <w:p w:rsidR="00453572" w:rsidRDefault="00453572" w:rsidP="00453572">
      <w:pPr>
        <w:tabs>
          <w:tab w:val="left" w:pos="540"/>
          <w:tab w:val="num" w:pos="1620"/>
        </w:tabs>
        <w:ind w:left="142"/>
        <w:jc w:val="both"/>
        <w:rPr>
          <w:b/>
          <w:sz w:val="32"/>
          <w:szCs w:val="32"/>
        </w:rPr>
      </w:pPr>
    </w:p>
    <w:p w:rsidR="00000000" w:rsidRDefault="00453572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7B3"/>
    <w:multiLevelType w:val="hybridMultilevel"/>
    <w:tmpl w:val="559E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7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3572"/>
    <w:rsid w:val="0045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NeoS</cp:lastModifiedBy>
  <cp:revision>2</cp:revision>
  <dcterms:created xsi:type="dcterms:W3CDTF">2014-12-23T22:40:00Z</dcterms:created>
  <dcterms:modified xsi:type="dcterms:W3CDTF">2014-12-23T22:40:00Z</dcterms:modified>
</cp:coreProperties>
</file>