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2" w:rsidRPr="00590307" w:rsidRDefault="00B26CC7" w:rsidP="002F0E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Тема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Валютний ринок і валютні системи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3038F" w:rsidP="008D630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Навчальна м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ета: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ясування суті валютного ринку, валютних операцій та механізму формування національних та світової валютної системи.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План:</w:t>
      </w:r>
    </w:p>
    <w:p w:rsidR="00704AE2" w:rsidRPr="00590307" w:rsidRDefault="00704AE2" w:rsidP="00CA2CF0">
      <w:pPr>
        <w:pStyle w:val="a5"/>
        <w:numPr>
          <w:ilvl w:val="0"/>
          <w:numId w:val="99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Конвертованість валюти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9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Валютний курс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9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Золотовалютні резерви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9A4C5A" w:rsidP="00CA2CF0">
      <w:pPr>
        <w:pStyle w:val="a5"/>
        <w:numPr>
          <w:ilvl w:val="0"/>
          <w:numId w:val="99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алютні системи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9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Валютний ринок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pStyle w:val="a5"/>
        <w:numPr>
          <w:ilvl w:val="0"/>
          <w:numId w:val="99"/>
        </w:numPr>
        <w:tabs>
          <w:tab w:val="num" w:pos="0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Форми валютних операцій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ab/>
      </w:r>
    </w:p>
    <w:p w:rsidR="0073038F" w:rsidRPr="00590307" w:rsidRDefault="0073038F" w:rsidP="0073038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1. Конвертованість валюти</w:t>
      </w:r>
    </w:p>
    <w:p w:rsidR="0073038F" w:rsidRPr="00590307" w:rsidRDefault="0073038F" w:rsidP="0073038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3038F" w:rsidP="0073038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Валюта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– грошова одиниця, що є ключовим елементом грошової системи держави: грошовий знак, повноцінна монета, розрахункова грошова одиниця та інші гроші, що виконують функцію міри вартості, засобу обігу та платежу.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Конвертованість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здатність національної валюти виконувати роль світових грош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ей, вільно обмінюватись на інші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валюти.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Види конвертованості:</w:t>
      </w:r>
    </w:p>
    <w:p w:rsidR="00704AE2" w:rsidRPr="00590307" w:rsidRDefault="00704AE2" w:rsidP="00CA2CF0">
      <w:pPr>
        <w:numPr>
          <w:ilvl w:val="0"/>
          <w:numId w:val="22"/>
        </w:numPr>
        <w:tabs>
          <w:tab w:val="clear" w:pos="36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залежно від суб</w:t>
      </w:r>
      <w:r w:rsidR="0030659E">
        <w:rPr>
          <w:rFonts w:ascii="Times New Roman" w:eastAsia="Times New Roman" w:hAnsi="Times New Roman" w:cs="Times New Roman"/>
          <w:b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єктного складу</w:t>
      </w:r>
      <w:r w:rsidR="0073038F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а) зовнішня (відсутність обмежень по використанню національно-валютних платежів я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к всередині країни, так і за її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межами);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б) внутрішня (відсутність обмежень по використанню національної валюти для резидентів)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73038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2) залежно від операцій, на які поширюється режим конвертованості</w:t>
      </w:r>
      <w:r w:rsidR="0073038F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1C6B6A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а) за поточними операціями (використання національної валюти за імпортні товари і послуги);</w:t>
      </w:r>
    </w:p>
    <w:p w:rsidR="00704AE2" w:rsidRPr="00590307" w:rsidRDefault="00704AE2" w:rsidP="001C6B6A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б) за фінансовими операціями (використання національної валюти для фінансування капітальних вкладень, тобто національна валюта обслуговує національні ринки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73038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3) залежно</w:t>
      </w:r>
      <w:r w:rsidR="0073038F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від ринку, який обслуговується: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а) повна – відсутність обмежень на використання національної валюти як за товарними, так і за фінансовими операціями, як для резидентів, так і для нерезидентів;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б) часткова – наявність певних обмежень у використанні національної валюти, вона, 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як правило, використовується на</w:t>
      </w:r>
      <w:r w:rsidR="0073038F" w:rsidRPr="00590307">
        <w:rPr>
          <w:rFonts w:ascii="Times New Roman" w:eastAsia="Times New Roman" w:hAnsi="Times New Roman" w:cs="Times New Roman"/>
          <w:lang w:eastAsia="ru-RU"/>
        </w:rPr>
        <w:t> 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товарних ринках.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Типологія валюти за рівнем конвертованості:</w:t>
      </w:r>
    </w:p>
    <w:p w:rsidR="00704AE2" w:rsidRPr="00590307" w:rsidRDefault="00704AE2" w:rsidP="00CA2CF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вільно конвертована (ВКВ);</w:t>
      </w:r>
    </w:p>
    <w:p w:rsidR="00704AE2" w:rsidRPr="00590307" w:rsidRDefault="00704AE2" w:rsidP="00CA2CF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частково конвертована;</w:t>
      </w:r>
    </w:p>
    <w:p w:rsidR="00704AE2" w:rsidRPr="00590307" w:rsidRDefault="00704AE2" w:rsidP="00CA2CF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неконвертована;</w:t>
      </w:r>
    </w:p>
    <w:p w:rsidR="00704AE2" w:rsidRPr="00590307" w:rsidRDefault="0073038F" w:rsidP="00CA2CF0">
      <w:pPr>
        <w:numPr>
          <w:ilvl w:val="0"/>
          <w:numId w:val="49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резервна (клірингова)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З юридичної точки зору є вільною валюта тих країн, що виконують такі 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зобов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язання Міжнародного валютного фонду (</w:t>
      </w:r>
      <w:r w:rsidRPr="00590307">
        <w:rPr>
          <w:rFonts w:ascii="Times New Roman" w:eastAsia="Times New Roman" w:hAnsi="Times New Roman" w:cs="Times New Roman"/>
          <w:lang w:val="uk-UA" w:eastAsia="ru-RU"/>
        </w:rPr>
        <w:t>МВФ)</w:t>
      </w:r>
      <w:bookmarkStart w:id="0" w:name="_GoBack"/>
      <w:bookmarkEnd w:id="0"/>
      <w:r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а) запроваджують заходи 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контролю до руху капіталу, його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припливу, відпливу;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б) не обмежують можливість використання своєї валюти або інших країн для поточних платежів;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в) викуповують в інших країн залишки коштів у своїй валюті, якщо вони утворюються за поточними операціями.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2. Валютний курс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 умовах існування системи золотого монометалізму в основі лежав «золотий паритет». В тих умовах валютний курс відхилявся від золотого паритету незначною мірою. В сучасних умовах в основі визначення валютного курсу лежить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валютний паритет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співвідношення валют різних країн, вимірюване співвідношенням їхнього золотого вмісту.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Валютний курс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ціна на валютному ринку, співвідношення між валютами 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різних країн, що встановлюється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законодавчо.</w:t>
      </w:r>
    </w:p>
    <w:p w:rsidR="00704AE2" w:rsidRPr="00590307" w:rsidRDefault="0073038F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Крім валютного паритету, на валютний курс впливають такі </w:t>
      </w:r>
      <w:r w:rsidR="00730CFC" w:rsidRPr="00590307">
        <w:rPr>
          <w:rFonts w:ascii="Times New Roman" w:eastAsia="Times New Roman" w:hAnsi="Times New Roman" w:cs="Times New Roman"/>
          <w:lang w:val="uk-UA" w:eastAsia="ru-RU"/>
        </w:rPr>
        <w:t>чинники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стан платіжного балансу країни;</w:t>
      </w:r>
    </w:p>
    <w:p w:rsidR="00704AE2" w:rsidRPr="00590307" w:rsidRDefault="00704AE2" w:rsidP="00CA2CF0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інфляційні процеси;</w:t>
      </w:r>
    </w:p>
    <w:p w:rsidR="0073038F" w:rsidRPr="00590307" w:rsidRDefault="00704AE2" w:rsidP="00CA2CF0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ставки по кредитам;</w:t>
      </w:r>
    </w:p>
    <w:p w:rsidR="00704AE2" w:rsidRPr="00590307" w:rsidRDefault="00704AE2" w:rsidP="00CA2CF0">
      <w:pPr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психологічні </w:t>
      </w:r>
      <w:r w:rsidR="00730CFC" w:rsidRPr="00590307">
        <w:rPr>
          <w:rFonts w:ascii="Times New Roman" w:eastAsia="Times New Roman" w:hAnsi="Times New Roman" w:cs="Times New Roman"/>
          <w:lang w:val="uk-UA" w:eastAsia="ru-RU"/>
        </w:rPr>
        <w:t>чинники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 xml:space="preserve"> (очікування населення)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3038F" w:rsidP="00CA2CF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державне регулювання економіки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(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валютне регулювання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Розрахунок валютного курсу відбувається залежно від ступеня втручання у механізм валютних відносин.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Існують такі види валютних курсів:</w:t>
      </w:r>
    </w:p>
    <w:p w:rsidR="00704AE2" w:rsidRPr="00590307" w:rsidRDefault="00704AE2" w:rsidP="00CA2CF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вільні (плаваючі) – ви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значаються під впливом попиту 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пропозиції;</w:t>
      </w:r>
    </w:p>
    <w:p w:rsidR="00704AE2" w:rsidRPr="00590307" w:rsidRDefault="00704AE2" w:rsidP="00CA2CF0">
      <w:pPr>
        <w:numPr>
          <w:ilvl w:val="0"/>
          <w:numId w:val="5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тверді – визначаються державою адміністративно. До них належать: тверді валютні курси, що співпадають з рівноважними; завищені (реваль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вація) і занижені (девальвація)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курси.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Визначення валютного курсу називається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котируванням валюти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, яке може бути прямим і непрямим.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При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прямому котируванні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курс одиниці іноземної валюти визначається в національній валю</w:t>
      </w:r>
      <w:r w:rsidR="00275992" w:rsidRPr="00590307">
        <w:rPr>
          <w:rFonts w:ascii="Times New Roman" w:eastAsia="Times New Roman" w:hAnsi="Times New Roman" w:cs="Times New Roman"/>
          <w:lang w:val="uk-UA" w:eastAsia="ru-RU"/>
        </w:rPr>
        <w:t>ті (наприклад: 1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 xml:space="preserve"> дол. США</w:t>
      </w:r>
      <w:r w:rsidR="00275992" w:rsidRPr="00590307">
        <w:rPr>
          <w:rFonts w:ascii="Times New Roman" w:eastAsia="Times New Roman" w:hAnsi="Times New Roman" w:cs="Times New Roman"/>
          <w:lang w:val="uk-UA" w:eastAsia="ru-RU"/>
        </w:rPr>
        <w:t xml:space="preserve"> = 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26</w:t>
      </w:r>
      <w:r w:rsidR="00275992" w:rsidRPr="00590307">
        <w:rPr>
          <w:rFonts w:ascii="Times New Roman" w:eastAsia="Times New Roman" w:hAnsi="Times New Roman" w:cs="Times New Roman"/>
          <w:lang w:val="uk-UA" w:eastAsia="ru-RU"/>
        </w:rPr>
        <w:t>,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65</w:t>
      </w:r>
      <w:r w:rsidR="00275992" w:rsidRPr="00590307">
        <w:rPr>
          <w:rFonts w:ascii="Times New Roman" w:eastAsia="Times New Roman" w:hAnsi="Times New Roman" w:cs="Times New Roman"/>
          <w:lang w:val="uk-UA" w:eastAsia="ru-RU"/>
        </w:rPr>
        <w:t>00 грн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При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непрямому котируванні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за базу розрахунку приймається націо</w:t>
      </w:r>
      <w:r w:rsidR="00275992" w:rsidRPr="00590307">
        <w:rPr>
          <w:rFonts w:ascii="Times New Roman" w:eastAsia="Times New Roman" w:hAnsi="Times New Roman" w:cs="Times New Roman"/>
          <w:lang w:val="uk-UA" w:eastAsia="ru-RU"/>
        </w:rPr>
        <w:t>нальна валюта (наприклад: 1 грн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= 0,0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375 дол.</w:t>
      </w:r>
      <w:r w:rsidR="0073038F" w:rsidRPr="00590307">
        <w:rPr>
          <w:rFonts w:ascii="Times New Roman" w:eastAsia="Times New Roman" w:hAnsi="Times New Roman" w:cs="Times New Roman"/>
          <w:lang w:eastAsia="ru-RU"/>
        </w:rPr>
        <w:t> </w:t>
      </w:r>
      <w:r w:rsidR="0073038F" w:rsidRPr="00590307">
        <w:rPr>
          <w:rFonts w:ascii="Times New Roman" w:eastAsia="Times New Roman" w:hAnsi="Times New Roman" w:cs="Times New Roman"/>
          <w:lang w:val="uk-UA" w:eastAsia="ru-RU"/>
        </w:rPr>
        <w:t>США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704AE2" w:rsidRPr="00590307" w:rsidRDefault="0073038F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У торго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вельно-промисловій сфері котирування базують на 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крос-курсі (крос-валютна пара)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– співвідношення між двома валютами, що визначаються з їх курсу по відношенню до третьої валюти (як правило, долара США).</w:t>
      </w:r>
    </w:p>
    <w:p w:rsidR="00704AE2" w:rsidRPr="00590307" w:rsidRDefault="00B26CC7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Методика розрахунку крос-курсу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 спосіб: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>розрахунок крос-курсу для валют із прямим котируванням до долара США (долар є базою котирування для обох валют).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Для розрахунку крос-курсу слід розділити курс валюти, що виступає в крос-курсі валютою котирування, на курс валюти, що в крос-курсі є базою котирування. Наприклад, потрібно знайти крос-курс кан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адського долара і японської єни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(CAD/JPV). Котирування канадського долара до долара США (USD/CAD) дорівнює 1,5658, 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а долара США до єни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(USD/JPV) – 107,34. Крос-курс CAD/JPV = 0,0146.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2 спосіб: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>розрахунок крос-курсу для валют із прямим та непрямим котируванням до долара США, де долар є базою котирування для однієї з валют.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Для розрахунку крос-курсу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слід помножити доларові курси цих валют. Наприклад, потрібно знайти крос-курс фунта с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терлінгів до української гривні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(GBP/UAH). Курс GBP/USD = 1,5890 (непряме котирування), курс USD/UAH = 5,4250 (пряме котирування). Крос-курс GBP/UAH = 8,6203.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 спосіб: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>розрахунок крос-курсу для валют із непрямим котируванням до долара США, де долар є валютою котирування для обох валют.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Для розрахунку крос-курсу необхідно поділити курс базової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валюти на курс валюти котирування. Наприклад, потрібно визначити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крос-курс фунта стерлінгів до австралійського долара (GBP/AUD).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Курс GBP/USD = 1,5820, курс AUD/USD = 0,7596.</w:t>
      </w:r>
      <w:r w:rsidRPr="00590307">
        <w:rPr>
          <w:rFonts w:ascii="Times New Roman" w:eastAsia="Times New Roman" w:hAnsi="Times New Roman" w:cs="Times New Roman"/>
          <w:b/>
          <w:i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Крос-курс GBP/AUD = 2,083.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3. Золотовалютні резерви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Офіційні запаси золота іноземної валюти в центральному банку країни називають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золотовалютним резервом. 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До його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складу включають:</w:t>
      </w:r>
    </w:p>
    <w:p w:rsidR="00704AE2" w:rsidRPr="00590307" w:rsidRDefault="00704AE2" w:rsidP="00CA2CF0">
      <w:pPr>
        <w:pStyle w:val="a5"/>
        <w:numPr>
          <w:ilvl w:val="0"/>
          <w:numId w:val="10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іноземну валюту (резервні валюти), що виконують функцію засобу платежу;</w:t>
      </w:r>
    </w:p>
    <w:p w:rsidR="00704AE2" w:rsidRPr="00590307" w:rsidRDefault="00704AE2" w:rsidP="00CA2CF0">
      <w:pPr>
        <w:pStyle w:val="a5"/>
        <w:numPr>
          <w:ilvl w:val="0"/>
          <w:numId w:val="10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монетарне золото (у зливках і монетах);</w:t>
      </w:r>
    </w:p>
    <w:p w:rsidR="00704AE2" w:rsidRPr="00590307" w:rsidRDefault="00704AE2" w:rsidP="00CA2CF0">
      <w:pPr>
        <w:pStyle w:val="a5"/>
        <w:numPr>
          <w:ilvl w:val="0"/>
          <w:numId w:val="10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цінні папери (облігації, ноти, векселі нерезидентів)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CA2CF0">
      <w:pPr>
        <w:pStyle w:val="a5"/>
        <w:numPr>
          <w:ilvl w:val="0"/>
          <w:numId w:val="10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спеціальні права запозичення (права на автоматичне отримання кредиту в МВФ) – СДР (</w:t>
      </w:r>
      <w:r w:rsidRPr="00590307">
        <w:rPr>
          <w:rFonts w:ascii="Times New Roman" w:eastAsia="Times New Roman" w:hAnsi="Times New Roman" w:cs="Times New Roman"/>
          <w:lang w:val="en-US" w:eastAsia="ru-RU"/>
        </w:rPr>
        <w:t>Special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en-US" w:eastAsia="ru-RU"/>
        </w:rPr>
        <w:t>Drawing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en-US" w:eastAsia="ru-RU"/>
        </w:rPr>
        <w:t>Rights</w:t>
      </w:r>
      <w:r w:rsidRPr="00590307">
        <w:rPr>
          <w:rFonts w:ascii="Times New Roman" w:eastAsia="Times New Roman" w:hAnsi="Times New Roman" w:cs="Times New Roman"/>
          <w:lang w:val="uk-UA" w:eastAsia="ru-RU"/>
        </w:rPr>
        <w:t>)</w:t>
      </w:r>
      <w:r w:rsidRPr="00590307">
        <w:rPr>
          <w:rFonts w:ascii="Times New Roman" w:eastAsia="Times New Roman" w:hAnsi="Times New Roman" w:cs="Times New Roman"/>
          <w:lang w:eastAsia="ru-RU"/>
        </w:rPr>
        <w:t>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Призначення золотовалютних резервів полягає у забезпеченні стабільності курсу національної грошової одиниці.</w:t>
      </w:r>
    </w:p>
    <w:p w:rsidR="00704AE2" w:rsidRPr="00590307" w:rsidRDefault="00704AE2" w:rsidP="008A2F85">
      <w:pPr>
        <w:tabs>
          <w:tab w:val="left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4. </w:t>
      </w:r>
      <w:r w:rsidR="009A4C5A" w:rsidRPr="00590307">
        <w:rPr>
          <w:rFonts w:ascii="Times New Roman" w:eastAsia="Times New Roman" w:hAnsi="Times New Roman" w:cs="Times New Roman"/>
          <w:b/>
          <w:lang w:val="uk-UA" w:eastAsia="ru-RU"/>
        </w:rPr>
        <w:t>В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алютні системи</w:t>
      </w:r>
    </w:p>
    <w:p w:rsidR="009A4C5A" w:rsidRPr="00590307" w:rsidRDefault="009A4C5A" w:rsidP="008A2F8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Валютні відносини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сукупність економічних відносин, які виникли у процесі розподілу та обміну результатами діяльності національних господарств. Основою є: товарне виробництво, міжнародна торгівля, рух капіталів та послуг.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Валютна система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сукупність валютних відносин.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Світова валютна система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розроблена державами та спільно закріплена в міжнародних угодах форма організації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валютних відносин. Сучасна світова валютна система сформувалась у 70-ті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роки ХХ століття</w:t>
      </w:r>
      <w:r w:rsidRPr="00590307">
        <w:rPr>
          <w:rFonts w:ascii="Times New Roman" w:eastAsia="Times New Roman" w:hAnsi="Times New Roman" w:cs="Times New Roman"/>
          <w:lang w:val="uk-UA" w:eastAsia="ru-RU"/>
        </w:rPr>
        <w:t>, норми якої закріплено на Ямайскій м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іжнародній конференції у 1978 році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 xml:space="preserve"> в м.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Кінгстоні. Система базується на вільни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х валютних курсах 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валютному паритеті.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Національна валютна система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форма організації валютних відносин окремої країни, елементами якої є національна валюта, валютний курс, апарат регулювання валютних відносин, режим конвертованості, валютний ринок.</w:t>
      </w:r>
    </w:p>
    <w:p w:rsidR="00704AE2" w:rsidRPr="00590307" w:rsidRDefault="00704AE2" w:rsidP="008A2F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5. Валютний ринок</w:t>
      </w:r>
    </w:p>
    <w:p w:rsidR="00704AE2" w:rsidRPr="00590307" w:rsidRDefault="00704AE2" w:rsidP="008A2F8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Валютний ринок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середо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вище, де здійснюються купівля-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продаж валюти на підставі попиту і пропозиції.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 від обсягу операцій, що з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 xml:space="preserve">дійснюються на валютному ринку,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розрізняють оптовий ринок – валютні операції у безготівковій формі, а також роздрібний ринок – готівковий.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 територією виділяють:</w:t>
      </w:r>
    </w:p>
    <w:p w:rsidR="00704AE2" w:rsidRPr="00590307" w:rsidRDefault="00704AE2" w:rsidP="00CA2CF0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національний;</w:t>
      </w:r>
    </w:p>
    <w:p w:rsidR="00704AE2" w:rsidRPr="00590307" w:rsidRDefault="00704AE2" w:rsidP="00CA2CF0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регіональний;</w:t>
      </w:r>
    </w:p>
    <w:p w:rsidR="00704AE2" w:rsidRPr="00590307" w:rsidRDefault="00704AE2" w:rsidP="00CA2CF0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світовий (найбільшими центрами є Лондон, Нью-Йорк, Токіо, Париж, Гонконг, Сінгапур).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Залежно від видів операці</w:t>
      </w:r>
      <w:r w:rsidR="009A4C5A" w:rsidRPr="00590307">
        <w:rPr>
          <w:rFonts w:ascii="Times New Roman" w:eastAsia="Times New Roman" w:hAnsi="Times New Roman" w:cs="Times New Roman"/>
          <w:lang w:val="uk-UA" w:eastAsia="ru-RU"/>
        </w:rPr>
        <w:t>й, що здійснюються на валютному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ринку, розрізняють:</w:t>
      </w:r>
    </w:p>
    <w:p w:rsidR="00704AE2" w:rsidRPr="00590307" w:rsidRDefault="00704AE2" w:rsidP="00CA2CF0">
      <w:pPr>
        <w:numPr>
          <w:ilvl w:val="0"/>
          <w:numId w:val="24"/>
        </w:numPr>
        <w:tabs>
          <w:tab w:val="clear" w:pos="720"/>
          <w:tab w:val="num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ринок валют;</w:t>
      </w:r>
    </w:p>
    <w:p w:rsidR="00704AE2" w:rsidRPr="00590307" w:rsidRDefault="00704AE2" w:rsidP="00CA2CF0">
      <w:pPr>
        <w:numPr>
          <w:ilvl w:val="0"/>
          <w:numId w:val="24"/>
        </w:numPr>
        <w:tabs>
          <w:tab w:val="clear" w:pos="720"/>
          <w:tab w:val="num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ринок депозитів;</w:t>
      </w:r>
    </w:p>
    <w:p w:rsidR="00704AE2" w:rsidRPr="00590307" w:rsidRDefault="00704AE2" w:rsidP="00CA2CF0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ринок кредитів.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Основні продавці і покупці – центральні банки,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 xml:space="preserve">інші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банки, </w:t>
      </w:r>
      <w:r w:rsidR="004E01D4">
        <w:rPr>
          <w:rFonts w:ascii="Times New Roman" w:eastAsia="Times New Roman" w:hAnsi="Times New Roman" w:cs="Times New Roman"/>
          <w:lang w:val="uk-UA" w:eastAsia="ru-RU"/>
        </w:rPr>
        <w:t>транснаціональні корпорації</w:t>
      </w:r>
      <w:r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Функції валютного ринку:</w:t>
      </w:r>
    </w:p>
    <w:p w:rsidR="00704AE2" w:rsidRPr="00590307" w:rsidRDefault="00704AE2" w:rsidP="00CA2CF0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здійснення міжнародних розрахунків;</w:t>
      </w:r>
    </w:p>
    <w:p w:rsidR="00704AE2" w:rsidRPr="00590307" w:rsidRDefault="00704AE2" w:rsidP="00CA2CF0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отримання прибутку;</w:t>
      </w:r>
    </w:p>
    <w:p w:rsidR="00704AE2" w:rsidRPr="006A7B26" w:rsidRDefault="00704AE2" w:rsidP="008A2F85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формування валютних резервів центральних банків.</w:t>
      </w:r>
    </w:p>
    <w:p w:rsidR="00B26CC7" w:rsidRDefault="00B26CC7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6. Форми валютних операцій</w:t>
      </w:r>
    </w:p>
    <w:p w:rsidR="009A4C5A" w:rsidRPr="00590307" w:rsidRDefault="009A4C5A" w:rsidP="008A2F8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9A4C5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Валютні операції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операції, що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язані з купівлею-продажем валюти.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Види валютних операцій:</w:t>
      </w:r>
    </w:p>
    <w:p w:rsidR="00704AE2" w:rsidRPr="00590307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депозитні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короткострокові (від 1 дня до 1 року) операції з розміщення коштів в іноземних валютах під визначений відсоток з метою одержання прибутку;</w:t>
      </w:r>
    </w:p>
    <w:p w:rsidR="00704AE2" w:rsidRPr="00590307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конверсійні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операції між агентами валютного ринку з обміну визначеної кількості валют однієї країни на валюту іншої країни за узгодженим курсом на визначену дату;</w:t>
      </w:r>
    </w:p>
    <w:p w:rsidR="00704AE2" w:rsidRPr="004E18DB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арбітражні </w:t>
      </w:r>
      <w:r w:rsidRPr="00590307">
        <w:rPr>
          <w:rFonts w:ascii="Times New Roman" w:eastAsia="Times New Roman" w:hAnsi="Times New Roman" w:cs="Times New Roman"/>
          <w:lang w:val="uk-UA" w:eastAsia="ru-RU"/>
        </w:rPr>
        <w:t>– операції, орієнтовані на отримання прибутку через різницю валютних курсі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в або відсоткових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ставок</w:t>
      </w:r>
      <w:r w:rsidR="004E18DB">
        <w:rPr>
          <w:rFonts w:ascii="Times New Roman" w:eastAsia="Times New Roman" w:hAnsi="Times New Roman" w:cs="Times New Roman"/>
          <w:lang w:val="uk-UA" w:eastAsia="ru-RU"/>
        </w:rPr>
        <w:t> </w:t>
      </w:r>
      <w:r w:rsidR="004E18DB" w:rsidRPr="004E18DB">
        <w:rPr>
          <w:rFonts w:ascii="Times New Roman" w:eastAsia="Times New Roman" w:hAnsi="Times New Roman" w:cs="Times New Roman"/>
          <w:b/>
          <w:lang w:val="uk-UA" w:eastAsia="ru-RU"/>
        </w:rPr>
        <w:t>(валютний арбітраж)</w:t>
      </w:r>
      <w:r w:rsidRPr="004E18DB">
        <w:rPr>
          <w:rFonts w:ascii="Times New Roman" w:eastAsia="Times New Roman" w:hAnsi="Times New Roman" w:cs="Times New Roman"/>
          <w:b/>
          <w:lang w:val="uk-UA" w:eastAsia="ru-RU"/>
        </w:rPr>
        <w:t>;</w:t>
      </w:r>
    </w:p>
    <w:p w:rsidR="00704AE2" w:rsidRPr="00590307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eastAsia="ru-RU"/>
        </w:rPr>
        <w:t>спот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п</w:t>
      </w:r>
      <w:r w:rsidRPr="00590307">
        <w:rPr>
          <w:rFonts w:ascii="Times New Roman" w:eastAsia="Times New Roman" w:hAnsi="Times New Roman" w:cs="Times New Roman"/>
          <w:lang w:eastAsia="ru-RU"/>
        </w:rPr>
        <w:t>оточні конверсійні операції, що передбачають поставку валют на 2-й робочий день з дня укладання угоди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ф</w:t>
      </w:r>
      <w:r w:rsidRPr="00590307">
        <w:rPr>
          <w:rFonts w:ascii="Times New Roman" w:eastAsia="Times New Roman" w:hAnsi="Times New Roman" w:cs="Times New Roman"/>
          <w:b/>
          <w:lang w:eastAsia="ru-RU"/>
        </w:rPr>
        <w:t>орвардні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о</w:t>
      </w:r>
      <w:r w:rsidRPr="00590307">
        <w:rPr>
          <w:rFonts w:ascii="Times New Roman" w:eastAsia="Times New Roman" w:hAnsi="Times New Roman" w:cs="Times New Roman"/>
          <w:lang w:eastAsia="ru-RU"/>
        </w:rPr>
        <w:t>пераці</w:t>
      </w:r>
      <w:r w:rsidR="008A2F85" w:rsidRPr="00590307">
        <w:rPr>
          <w:rFonts w:ascii="Times New Roman" w:eastAsia="Times New Roman" w:hAnsi="Times New Roman" w:cs="Times New Roman"/>
          <w:lang w:eastAsia="ru-RU"/>
        </w:rPr>
        <w:t>ї з обміну валюти за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="008A2F85" w:rsidRPr="00590307">
        <w:rPr>
          <w:rFonts w:ascii="Times New Roman" w:eastAsia="Times New Roman" w:hAnsi="Times New Roman" w:cs="Times New Roman"/>
          <w:lang w:eastAsia="ru-RU"/>
        </w:rPr>
        <w:t>узгодженим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Pr="00590307">
        <w:rPr>
          <w:rFonts w:ascii="Times New Roman" w:eastAsia="Times New Roman" w:hAnsi="Times New Roman" w:cs="Times New Roman"/>
          <w:lang w:eastAsia="ru-RU"/>
        </w:rPr>
        <w:t>курсом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eastAsia="ru-RU"/>
        </w:rPr>
        <w:t>ф</w:t>
      </w:r>
      <w:r w:rsidR="0030659E">
        <w:rPr>
          <w:rFonts w:ascii="Times New Roman" w:eastAsia="Times New Roman" w:hAnsi="Times New Roman" w:cs="Times New Roman"/>
          <w:b/>
          <w:lang w:eastAsia="ru-RU"/>
        </w:rPr>
        <w:t>’</w:t>
      </w:r>
      <w:r w:rsidRPr="00590307">
        <w:rPr>
          <w:rFonts w:ascii="Times New Roman" w:eastAsia="Times New Roman" w:hAnsi="Times New Roman" w:cs="Times New Roman"/>
          <w:b/>
          <w:lang w:eastAsia="ru-RU"/>
        </w:rPr>
        <w:t>ючерсні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строкові 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операції, що передбачають торгівлю стандартними контрактами, в яких регламентовані сума, метод розрахунку і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строк</w:t>
      </w:r>
      <w:r w:rsidRPr="00590307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704AE2" w:rsidRPr="00590307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о</w:t>
      </w:r>
      <w:r w:rsidRPr="00590307">
        <w:rPr>
          <w:rFonts w:ascii="Times New Roman" w:eastAsia="Times New Roman" w:hAnsi="Times New Roman" w:cs="Times New Roman"/>
          <w:b/>
          <w:lang w:eastAsia="ru-RU"/>
        </w:rPr>
        <w:t>пціонні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п</w:t>
      </w:r>
      <w:r w:rsidRPr="00590307">
        <w:rPr>
          <w:rFonts w:ascii="Times New Roman" w:eastAsia="Times New Roman" w:hAnsi="Times New Roman" w:cs="Times New Roman"/>
          <w:lang w:eastAsia="ru-RU"/>
        </w:rPr>
        <w:t>ередбачають право купити чи продати валюту в майбутньому за курсом зафіксованим на час укладання угоди, але з незафіксованою</w:t>
      </w:r>
      <w:r w:rsidR="008A2F85" w:rsidRPr="00590307">
        <w:rPr>
          <w:rFonts w:ascii="Times New Roman" w:eastAsia="Times New Roman" w:hAnsi="Times New Roman" w:cs="Times New Roman"/>
          <w:lang w:eastAsia="ru-RU"/>
        </w:rPr>
        <w:t xml:space="preserve"> датою поставки валюти протягом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 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визначеного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строку</w:t>
      </w:r>
      <w:r w:rsidRPr="00590307">
        <w:rPr>
          <w:rFonts w:ascii="Times New Roman" w:eastAsia="Times New Roman" w:hAnsi="Times New Roman" w:cs="Times New Roman"/>
          <w:lang w:eastAsia="ru-RU"/>
        </w:rPr>
        <w:t>;</w:t>
      </w:r>
    </w:p>
    <w:p w:rsidR="00704AE2" w:rsidRPr="00590307" w:rsidRDefault="00704AE2" w:rsidP="00CA2CF0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с</w:t>
      </w:r>
      <w:r w:rsidRPr="00590307">
        <w:rPr>
          <w:rFonts w:ascii="Times New Roman" w:eastAsia="Times New Roman" w:hAnsi="Times New Roman" w:cs="Times New Roman"/>
          <w:b/>
          <w:lang w:eastAsia="ru-RU"/>
        </w:rPr>
        <w:t>воп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о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перації, що поєднують купівлю-продаж на умовах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строкової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 поставки з одночасною контругодою на визначений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строк</w:t>
      </w:r>
      <w:r w:rsidRPr="00590307">
        <w:rPr>
          <w:rFonts w:ascii="Times New Roman" w:eastAsia="Times New Roman" w:hAnsi="Times New Roman" w:cs="Times New Roman"/>
          <w:lang w:eastAsia="ru-RU"/>
        </w:rPr>
        <w:t xml:space="preserve"> з тими ж валютами.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3E47EF" w:rsidP="001C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Контрольні запитання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Що таке валюта? 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кон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вертованість валюти та які види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конвертованості існують?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Визначте типи валют за рівнем конвертованості.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валютний пар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итет? Чим він відрізняється від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«золотого паритету»?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валютний курс? Види валютних курсів.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Які </w:t>
      </w:r>
      <w:r w:rsidR="00730CFC" w:rsidRPr="00590307">
        <w:rPr>
          <w:rFonts w:ascii="Times New Roman" w:eastAsia="Times New Roman" w:hAnsi="Times New Roman" w:cs="Times New Roman"/>
          <w:lang w:val="uk-UA" w:eastAsia="ru-RU"/>
        </w:rPr>
        <w:t>чинники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впливають на валютний курс?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котирування?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чому сутність прямого і непрямого котирування?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Що таке крос</w:t>
      </w:r>
      <w:r w:rsidR="008A2F85" w:rsidRPr="00590307">
        <w:rPr>
          <w:rFonts w:ascii="Times New Roman" w:eastAsia="Times New Roman" w:hAnsi="Times New Roman" w:cs="Times New Roman"/>
          <w:lang w:val="uk-UA" w:eastAsia="ru-RU"/>
        </w:rPr>
        <w:t>-курс? Які існують способи його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розрахунку?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включають до складу золотовалютних резервів? Для чого вони призначені?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валютна система?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валютні відносини?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національна та світова валютні системи?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валютний ринок? Які функції він виконує?</w:t>
      </w:r>
    </w:p>
    <w:p w:rsidR="00704AE2" w:rsidRPr="00590307" w:rsidRDefault="00704AE2" w:rsidP="00CA2CF0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валютні операції?</w:t>
      </w:r>
    </w:p>
    <w:p w:rsidR="006A7B26" w:rsidRPr="00B26CC7" w:rsidRDefault="00704AE2" w:rsidP="00B26CC7">
      <w:pPr>
        <w:numPr>
          <w:ilvl w:val="0"/>
          <w:numId w:val="53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види валютних операцій Ви можете назвати?</w:t>
      </w:r>
    </w:p>
    <w:sectPr w:rsidR="006A7B26" w:rsidRPr="00B26CC7" w:rsidSect="003F2DBE">
      <w:footerReference w:type="default" r:id="rId9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31" w:rsidRDefault="00677931" w:rsidP="009D0CB7">
      <w:pPr>
        <w:spacing w:after="0" w:line="240" w:lineRule="auto"/>
      </w:pPr>
      <w:r>
        <w:separator/>
      </w:r>
    </w:p>
  </w:endnote>
  <w:end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4E39F9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B26CC7">
          <w:rPr>
            <w:noProof/>
            <w:sz w:val="22"/>
            <w:szCs w:val="22"/>
          </w:rPr>
          <w:t>2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31" w:rsidRDefault="00677931" w:rsidP="009D0CB7">
      <w:pPr>
        <w:spacing w:after="0" w:line="240" w:lineRule="auto"/>
      </w:pPr>
      <w:r>
        <w:separator/>
      </w:r>
    </w:p>
  </w:footnote>
  <w:foot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C85"/>
    <w:rsid w:val="00021D1E"/>
    <w:rsid w:val="000414A6"/>
    <w:rsid w:val="00041D30"/>
    <w:rsid w:val="000466A6"/>
    <w:rsid w:val="0005026C"/>
    <w:rsid w:val="00051E9A"/>
    <w:rsid w:val="0005620B"/>
    <w:rsid w:val="00064EB5"/>
    <w:rsid w:val="00066A4F"/>
    <w:rsid w:val="00077330"/>
    <w:rsid w:val="00077880"/>
    <w:rsid w:val="00082D4B"/>
    <w:rsid w:val="00083ABB"/>
    <w:rsid w:val="00086287"/>
    <w:rsid w:val="000A383B"/>
    <w:rsid w:val="000B7ACC"/>
    <w:rsid w:val="000C0698"/>
    <w:rsid w:val="000C48F8"/>
    <w:rsid w:val="000C4CAF"/>
    <w:rsid w:val="000C4FFE"/>
    <w:rsid w:val="000C740A"/>
    <w:rsid w:val="000D2714"/>
    <w:rsid w:val="000D6D7F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915"/>
    <w:rsid w:val="004F6E1F"/>
    <w:rsid w:val="00504149"/>
    <w:rsid w:val="005102C3"/>
    <w:rsid w:val="00512DAD"/>
    <w:rsid w:val="00524A56"/>
    <w:rsid w:val="00526D34"/>
    <w:rsid w:val="00527111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321F3"/>
    <w:rsid w:val="00635A2B"/>
    <w:rsid w:val="006372A1"/>
    <w:rsid w:val="0064679F"/>
    <w:rsid w:val="00651B54"/>
    <w:rsid w:val="00657F45"/>
    <w:rsid w:val="00672455"/>
    <w:rsid w:val="006724F8"/>
    <w:rsid w:val="00676DA3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8011A5"/>
    <w:rsid w:val="008136C7"/>
    <w:rsid w:val="00815717"/>
    <w:rsid w:val="008224A3"/>
    <w:rsid w:val="0083051C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91DA5"/>
    <w:rsid w:val="00992193"/>
    <w:rsid w:val="009946AA"/>
    <w:rsid w:val="009A0D5F"/>
    <w:rsid w:val="009A1995"/>
    <w:rsid w:val="009A371D"/>
    <w:rsid w:val="009A4C5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6CC7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2C2E"/>
    <w:rsid w:val="00EE40D8"/>
    <w:rsid w:val="00EE7550"/>
    <w:rsid w:val="00EF283C"/>
    <w:rsid w:val="00EF40F7"/>
    <w:rsid w:val="00EF4672"/>
    <w:rsid w:val="00EF4AD9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429C"/>
    <w:rsid w:val="00FB1FB4"/>
    <w:rsid w:val="00FB7EE5"/>
    <w:rsid w:val="00FC15C8"/>
    <w:rsid w:val="00FC2759"/>
    <w:rsid w:val="00FD193C"/>
    <w:rsid w:val="00FD3782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arc" idref="#_x0000_s1203"/>
        <o:r id="V:Rule10" type="connector" idref="#_x0000_s1202"/>
        <o:r id="V:Rule11" type="connector" idref="#_x0000_s1211"/>
        <o:r id="V:Rule12" type="connector" idref="#_x0000_s1216"/>
        <o:r id="V:Rule13" type="connector" idref="#_x0000_s1221"/>
        <o:r id="V:Rule14" type="connector" idref="#_x0000_s1201"/>
        <o:r id="V:Rule15" type="connector" idref="#_x0000_s1214"/>
        <o:r id="V:Rule16" type="connector" idref="#_x0000_s1218"/>
        <o:r id="V:Rule17" type="connector" idref="#_x0000_s12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8"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 w:eastAsia="ru-RU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E67C-A842-41A1-8CA7-1B941CE6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5588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IOTA</cp:lastModifiedBy>
  <cp:revision>135</cp:revision>
  <cp:lastPrinted>2017-01-08T20:01:00Z</cp:lastPrinted>
  <dcterms:created xsi:type="dcterms:W3CDTF">2012-02-10T16:20:00Z</dcterms:created>
  <dcterms:modified xsi:type="dcterms:W3CDTF">2023-11-04T08:37:00Z</dcterms:modified>
</cp:coreProperties>
</file>