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F3" w:rsidRDefault="00B43A4D" w:rsidP="00974F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Регулювання та організаційно-правове забезпечення</w:t>
      </w:r>
      <w:r w:rsidR="008E3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електронної комерції</w:t>
      </w:r>
    </w:p>
    <w:p w:rsidR="008E3EF3" w:rsidRDefault="008E3EF3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F1C" w:rsidRDefault="003D3F1C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3EF3" w:rsidRDefault="0085493E" w:rsidP="0017757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hAnsi="Times New Roman" w:cs="Times New Roman"/>
          <w:sz w:val="28"/>
          <w:szCs w:val="28"/>
        </w:rPr>
        <w:t>План</w:t>
      </w:r>
    </w:p>
    <w:p w:rsidR="00D92789" w:rsidRPr="00B43A4D" w:rsidRDefault="00D92789" w:rsidP="00D9278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3A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Нормативно-правове забезпечення системи електронної комерції </w:t>
      </w:r>
    </w:p>
    <w:p w:rsidR="00D92789" w:rsidRPr="00B43A4D" w:rsidRDefault="00D92789" w:rsidP="00D9278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3A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Принципи, на яких будується правове регулювання у сфері електронної комерції </w:t>
      </w:r>
    </w:p>
    <w:p w:rsidR="00D92789" w:rsidRPr="00B43A4D" w:rsidRDefault="00D92789" w:rsidP="00D9278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A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Особливості договірних відносин в електронній комерції </w:t>
      </w:r>
      <w:r w:rsidRPr="00B4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789" w:rsidRDefault="00D92789" w:rsidP="0017757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sz w:val="28"/>
          <w:szCs w:val="28"/>
        </w:rPr>
      </w:pPr>
    </w:p>
    <w:p w:rsidR="008E3EF3" w:rsidRPr="0071143B" w:rsidRDefault="00B76366" w:rsidP="00711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1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Нормативно-правове забезпечення системи електронної комерції</w:t>
      </w:r>
      <w:r w:rsidR="008E3EF3" w:rsidRPr="00711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2DD2" w:rsidRDefault="008E2DD2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У юридичному аспекті електронна комерція - це укладення в електронній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формі низки підприємницьких угод щодо купівлі-продажу, постачання,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розподілу продукції, страхування, перевезення вантажів або пасажирів,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банківських угод тощо. Тому передовсім потрібна особлива законодавча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регламентація електронної комерції, яка поєднувала б застосування традиційних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базових юридичних норм і правил та створення нових правових інститутів та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процедур.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Першим кроком у галузі розвитку міжнародного права щодо регулювання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електронної комерції став прийнятий Резолюцією Генеральної Асамблеї ООН 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1997 р. Типовий закон "Про електронну торгівлю" (так званий Типовий закон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ЮНСІТРАЛ). Даний документ призначений першочергово для використання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державами як основи для розробки національного законодавства. Даний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міжнародний документ заклав правові основи діяльності в сфері електронної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торгівлі, дав визначення основним поняттям, визнав юридичну і доказову силу за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документами в електронній формі, визначив вимоги, що пред'являються до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електронного підпису.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Для розвитку Типового закону "Про електронну торгівлю" держави-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учасниці ООН розробили проект міжнародної Конвенції "Про електронні угоди",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основним завданням якої є вироблення єдиних і обов'язкових правил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встановлення порядку укладення електронних угод та їх виконання.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Європейським Союзом була прийнята Директива "Про деякі аспекти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електронної торгівлі на внутрішньому ринку". Основним завданням її 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забезпечення умов належного функціонування міжнародної електронної комерції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між державами-членами ЄС.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Іншим важливим документом є Директива ЄС "Про правові основи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Співдружності для використання електронних підписів". Даний документ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найбільш повно врегулював відносини у сфері використання електронних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підписів. Мета прийняття цього законодавчого акт</w:t>
      </w:r>
      <w:r w:rsidR="007114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- забезпечити ведення бізнесу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через Інтернет.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В нашій державі початок правового регулювання діяльності у сфері високих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технологій було закладено прийняттям Закону України "Про Національну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програму інформатизації".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Проблема правового забезпечення електронної комерції виходить далеко за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межі однієї країни, а тому світове співтовариство зосереджує свою увагу 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уніфікації та гармонізації законодавства на регіональному (у рамках ЄС, СНД,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СОТ тощо) та міжнародному рівнях, сприяючи розробці єдиних принципів 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положень.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Такий підхід слід вважати правильним, оскільки Інтернет 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прив’язаний до певної території, а має глобальний, екстериторіальний характер,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 тому, як небезпідставно наголошується вченими, спроба встановити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ізольований національний або субрегіональний правовий режим може призвести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 колізій національних правових систем при здійсненні трансграничних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електронних правочинів, а в деяких випадках взагалі зробить їх вчинення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неможливим.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Слід відмітити появу Типового закону «Про електронну торгівлю»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(далі – Типовий закон ЮНСІТРАЛ), розробленого Комісією ООН по праву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міжнародної торгівлі: маючи рекомендаційний характер, він призначений для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державами як шаблону для розробки національних норм.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Крім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того, у зв’язку з ратифікацією Угоди про асоціацію між Україною та ЄС суттєве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значення набуває ознайомлення з відповідними Директивами ЄС і наслідування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позитивного європейського досвіду.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Україні юридичним бар’єром активного розвитку ринку електронної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комерції довгий час була відсутність комплексної нормативної бази. Так,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регламентація вказаних відносин ґрунтувалась на базових нормах Цивільного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кодексу України (далі – ЦК України), Господарського кодексу України, а також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нормативно-правових актів, положення яких лише фрагментарно регулювали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окремі питання електронної комерції.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Проте спеціальний Закон України «Про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електронну комерцію» (далі – Закон) був прийнятий лише у 2015 році.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Безперечно, позитивно сприймається той факт, що на сьогодні вітчизняний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законодавець розробив механізм регламентації відносин у сфері електронної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комерції, надав дефініції основним поняттям (таким як «електронна комерція»,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«електронний правочин», «електронний документ») і значної кількості інших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пов’язаних із ними понять, чим установив правові рамки функціонування ринку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електронної комерції.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Появі цього Закону сприяли пошуки науковців, які займалися проблемами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електронної комерції. І хоча їх погляди різняться: одні з них розглядають її як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учинення передбачених законодавством правочинів через мережі електрозв’язку,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зокрема через Інтернет, інші відносять її до однієї з форм організації та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здійснення господарської діяльності, а треті – акцентують увагу 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технологічному аспекті електронної комерції, тобто засобах її здійснення,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найбільш розповсюдженим серед яких є мережа Інтернет.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Проте, беззаперечно 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цим погодитися не можна, оскільки, як вважає більшість правників, акцент саме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на мережі Інтернет дещо звужує поняття електронної комерції, оскільки такими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мережами можуть бути й інші мережі загального або локального характеру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користування. До того ж можливе здійснення електронної комерції за допомогою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зв’язаних між собою, але не підключених до Інтернету комп’ютерів.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До речі, саме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такий технологічно нейтральний підхід закладений у положеннях Керівництва 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прийняття Типового закону ЮНСІТРАЛ, згідно з якими останній призначений 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тільки для застосування в контексті існуючих електронних, оптичних або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аналогічних засобів передачі даних, але також і майбутніх технологічних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розробок. Останнє було сприйняте і вітчизняним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законодавцем, який надає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поняття електронної комерції, як відносин, спрямованих на отримання прибутку,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що виникають під час вчинення правочинів щодо набуття, зміни або припинення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цивільних прав та обов’язків, що здійснені дистанційно з використанням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інформаційно-телекомунікаційних систем, внаслідок чого в учасників таких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виникають права й обов’язки майнового характеру. </w:t>
      </w:r>
    </w:p>
    <w:p w:rsidR="008E3EF3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Таким чином, Закон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(п. 1 ч. 1 ст. 3) не конкретизує види засобів зв’язку, за допомогою яких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учиняються правочини.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Отже, у легальному визначенні електронної комерції кваліфікуючою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ознакою виступає саме мережа електрозв’язку, за допомогою якої відбувається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обмін даними між контрагентами. Саме це сприяло тому, що окремі вчені дійшли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висновку, що «електронна комерція» є фікцією, вигаданою сутністю, оскільки 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породжує принципово нових правовідносин, а вся особливість відносин у її сфері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полягає лише в способі їх виникнення – за допомогою комп’ютерних мереж.</w:t>
      </w:r>
      <w:r w:rsidRPr="00DB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1143B" w:rsidRDefault="0071143B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EF3" w:rsidRDefault="00B76366" w:rsidP="00711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1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Принципи, на яких будується правове регулювання у сфері</w:t>
      </w:r>
      <w:r w:rsidR="008E3EF3" w:rsidRPr="00711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електронної комерції</w:t>
      </w:r>
      <w:r w:rsidR="008E3EF3" w:rsidRPr="00711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1143B" w:rsidRPr="0071143B" w:rsidRDefault="0071143B" w:rsidP="0071143B">
      <w:pPr>
        <w:pStyle w:val="a3"/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Статтею 5 Закону визначено принципи, на яких будується правове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регулювання у сфері електронної комерції, проте вони сформульовані доволі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широко, і навряд чи це можна віднести до позитивних моментів.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Так, указана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стаття поєднує як принципи, що мають безпосереднє відношення до електронної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комерції й є визначальними для цієї сфери, так і ті, що відбивають характер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правового регулювання в галузі приватного права, і поряд з цим до цього переліку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включені положення, які за своєю суттю принципами не є, а є лише умовами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ведення легальної діяльності в цій сфері.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Наприклад, цілком очевидно, що такі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принципи як «свобода вчинення електронних правочинів», «свобода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провадження підприємницької діяльності з використанням інформаційно-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телекомунікаційних систем» – це лише трансформовані в законі приватноправові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принципи свободи договору, свободи підприємницької діяльності, тому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обтяження їх електронним елементом (акцент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«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електронності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>» договору або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підприємницької діяльності) нічого нового в даний принцип не привносить, 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конкретизує лише специфічну сферу його застосування, таким чином вони є, так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би мовити, похідними від приватноправових принципів.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Тому, виходячи з того,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що як загальний принцип права – принцип законності не вимагає багаторазового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повторення в законодавчих актах, так і в спеціальному законодавстві слід уникати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дублювання загальних принципів, зокрема цивільного права (чого вимагає 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законодавча техніка).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3EF3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Між тим основоположними, загальновизнаними принципами електронної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комерції виступають такі: принцип функціональної еквівалентності паперових та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електронних документів, принцип недискримінації електронних повідомлень,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принцип функціональної еквівалентності, принцип технологічної нейтральності,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принцип свободи форми. Саме вони відображають специфіку механізму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здійснення прав у мережі Інтернет і задають вектор подальшого правового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регулювання.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71143B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3EF3" w:rsidRDefault="008E3EF3" w:rsidP="00711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76366" w:rsidRPr="00711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собливості договірних відносин в електронній комерції</w:t>
      </w:r>
      <w:r w:rsidRPr="00711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Pr="0071143B" w:rsidRDefault="0071143B" w:rsidP="0071143B">
      <w:pPr>
        <w:pStyle w:val="a3"/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Згідно з ч. 1 ст. 1 Закону предметом його регулювання є правовідносини,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виникаючі у сфері електронної комерції під час учинення електронних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правочинів.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Поняття «електронний правочин» та «електронний договір» до їх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законодавчого закріплення були запроваджені у науковий обіг з тим, щоб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підкреслити, що правочини, які вчиняються в мережі Інтернет, мають певні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особливості порівняно з тими, які укладаються в традиційному фізичному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просторі.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Втім зазначені правочини не є новим видом договорів, оскільки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електронний формат представлення інформації (іншими словами,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безпаперовий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а, якщо казати про договір, обмін електронними повідомленнями як спосіб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волевиявлення осіб не змінює правової природи правочину.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Відповідно й поняття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«електронний правочин» та «електронний договір» є умовними.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Правочини,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зокрема основний їх різновид – договори, залишаються ними незалежно від того,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вчиняються вони з використанням мережі Інтернет чи ні, укладені у вигляді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письмового документа на паперовому носії, скріпленого підписом та завіреного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печаткою, або у вигляді електронного документу, підписаного з використанням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електронного цифрового підпису.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Однак чи всі правочини, які вчиняються у фізичному просторі, можуть бути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вчиненими в мережі Інтернет? Так, у літературі існують різні погляди відносно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цієї проблематики. Традиційно вважається, що йдеться виключно про укладення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двосторонніх та багатосторонніх правочинів, адже односторонні такі, наприклад,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як видача довіреності, складення заповіту, в силу своєї специфіки не можуть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учинятися в мережі Інтернет.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Беззастережно погодитися з цим не можна,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виходячи з того, що існують й такі односторонні правочини, які здатні до цього,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наприклад, відкриті ліцензії (інші позначення – вільні ліцензії, публічні ліцензії)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на використання об’єктів авторського права і суміжних прав. Однак, зауважимо,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що погляд на ці ліцензії як на односторонні правочини доволі дискусійний, адже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природа цього інституту й досі не з’ясована, бо на рівні законодавства взагалі 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йдеться про нього, а на рівні доктрини думки правників неодностайні.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Так, одні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вчені вважають, що відносини з приводу вільних ліцензій мають договірну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природу, тобто це ліцензійний договір, інші ж наполягають на кваліфікації їх як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односторонніх правочинів. Остання точка зору аргументується тим, що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оголошений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правоволодільцем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дозвіл на використання об’єкту в означених ним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межах створює для будь-якого потенційного користувача право, яке з’являється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одразу після публічного повідомлення про такий загальний дозвіл й існує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незалежно від учинення акцепту. Відтак користувачу надається право вільно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користуватися об’єктом (розповсюджувати, переробляти, змінювати) і при цьому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на нього не покладається жодних додаткових обов’язків, крім загального – 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порушувати меж дозволеного використання, що складає зміст абсолютного, а 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відносного (договірного) правовідношення.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Якщо ж брати до уваги процедуру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укладення договору, відповідно до якої для його укладення необхідно узгодження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волі двох сторін правовідносин, що досягається при отриманні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оферентом</w:t>
      </w:r>
      <w:proofErr w:type="spellEnd"/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акцепту, у випадку із використанням творів (або об’єктів суміжних прав)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користувачем згідно із умовами такої ліцензії, «акцепт» не доводиться до відома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правоволодільця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й тому узгодження волі не відбувається.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Єдине, що сьогодні перешкоджає визнанню таких ліцензій односторонніми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правочинами, – це вимоги чинного законодавства щодо вчинення їх у письмовій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формі. Проте така ж проблема існує й навіть тоді, коли автори розглядають такі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ліцензії ліцензійними договорами.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Таким чином, слід констатувати, що, по-перше, хоча до Закону й введено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таке поняття як «електронний правочин», фактично електронна комерція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здійснюється лише шляхом укладення двосторонніх або багатосторонніх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правочинів, тобто договорів; по-друге, сутність електронної комерції (як вона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визначається в Законі) за загальним правилом вимагає укладення лише тих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договорів, які опосередковують підприємницьку діяльність. Виняток із цього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правила передбачено ч. 2 ст. 1 Закону, – коли сторони, однією з яких є фізична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особа, що не є суб’єктом підприємницької діяльності, реалізує або пропонує до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реалізації товари, виконує роботи, надає послуги з використанням інформаційно-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телекомунікаційних систем, прямо домовилися про застосування положень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Закону до договору, що ними укладається.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Отже, не будь-які правочини 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підставою виникнення відносин у сфері електронної комерції, а лише ті, що 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підприємницькими та споживчими договорами. Враховуючи це, за загальним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правилом, йдеться про договори, які в іноземних джерелах позначаються, як В2В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business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business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– контрагентами виступають комерційні організації) та В2С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business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consumers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– комерційні організації вступають у правовідносини із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приватними особами).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Існують й інші вимоги, які призводять до вилучення з предметної сфери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регулювання Закону певних груп договорів. Умовно їх можна поділити на ті, що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пред’явля</w:t>
      </w:r>
      <w:r w:rsidR="0071143B">
        <w:rPr>
          <w:rFonts w:ascii="Times New Roman" w:hAnsi="Times New Roman" w:cs="Times New Roman"/>
          <w:color w:val="000000"/>
          <w:sz w:val="28"/>
          <w:szCs w:val="28"/>
        </w:rPr>
        <w:t xml:space="preserve">ються до суб’єктного складу,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стосуються предмету (об’єкту)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43B">
        <w:rPr>
          <w:rFonts w:ascii="Times New Roman" w:hAnsi="Times New Roman" w:cs="Times New Roman"/>
          <w:color w:val="000000"/>
          <w:sz w:val="28"/>
          <w:szCs w:val="28"/>
        </w:rPr>
        <w:t xml:space="preserve">договору, що укладається,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пов’язані з нотаріальним посвідченням або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державною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реєстрацією відповідно до законодавства (проте залежно від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предмету договору вони можуть бути віднесені до другої групи).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До першої групи договорів можна віднести такі: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(а) коли однією з сторін 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фізична особа, яка не зареєстрована як фізична особа – підприємець та реалізує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або пропонує до реалізації товари, виконує роботи, надає послуги 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використанням інформаційно-телекомунікаційних систем;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(б) коли стороною 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орган державної влади або орган місцевого самоврядування в частині виконання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ним функцій держави або місцевого самоврядування чи договір вчиняється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Закону України «Про здійснення державних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(в) коли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виконання зобов’язання забезпечується особою, яка уклала договір поруки або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іншої форми майнового забезпечення, за умови, що вона діє в цілях, що виходять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за межі її господарської діяльності чи незалежної професійної діяльності;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(г)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договори, які регулюють сімейні правовідносини.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Сімейним кодексом України передбачено укладення певної групи сімейно-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правових правочинів, а саме договорів подружжя стосовно їх спільного та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роздільного майна, договорів подружжя про надання утримання та про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припинення права на утримання, шлюбного договору тощо. Виходячи з цього,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подружжя можуть укладати договори, для яких має значення їх подружній статус,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але за своєю природою ці правочини, апріорі, навіть, якщо про це не буде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безпосередньо зазначено в Законі, не можуть входити до сфери електронної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комерції як такої. Однак подружжя, або один із них можуть укладати й інші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договори, для яких їх статус як подружжя буде юридично байдужим, можна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віднести до сфери електронної комерції, зокрема договір купівлі продажу.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Друга група представлена договорами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(а) які стосуються грального бізнесу,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 тому числі парі, тоталізаторів, інших азартних ігор, або проведення лотерей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(окрім, не грошових лотерей відповідно до Закону України «Про благодійну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діяльність та благодійні організації» та лотерей, визначених Законом України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«Про рекламу»);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(б) предметом яких є об’єкти, вилучені або обмежені в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цивільному обороті, та щодо яких законом установлено спеціальний порядок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переходу права власності.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Вважаємо недоречним указувати на договори, предметом яких є вилучені 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обороту об’єкти, оскільки вони взагалі не можуть бути предметом жодних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правочинів, тому неважливо, де вони вчиняються – в традиційному фізичному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просторі, чи в Інтернет-середовищі.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Третя група представлена договорами, що потребують нотаріального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посвідчення або державної реєстрації. Слід визнати це правильним, хоча деякими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вченими така заборона сприймається критично.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Укладення договору в інформаційному просторі, так само як і у звичайному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фізичному, передбачає послідовні дії сторін щодо направлення (розміщення)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пропозиції – оферти та її прийняття – акцепту, що в підсумку підтверджує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досягнення узгодженості волі сторін, і як наслідок, виникнення зобов’язання. Цей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порядок регламентований ст.11 Закону й по суті є таким же само, що 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передбачений ч. 2 ст. 638 ЦК України: електронний договір укладається шляхом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пропозиції його укласти (оферти) однією стороною та її прийняття (акцепту)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іншою.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Укладенню договору може передувати отримання споживачем комерційного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електронного повідомлення, метою якого є пряме чи опосередковане просування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товарів, робіт чи послуг або ділової репутації особи, яка провадить господарську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або незалежну професійну діяльність.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Стаття 10 Закону передбачає два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альтернативних механізми регуляції розсилки таких повідомлень: направлення їх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одержувачам за попередньою підпискою (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opt-in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>), тож користувач мережі повинен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самостійно й чітко висловити свою згоду на таке отримання; відправка без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попередньої підписки, але з обов’язковою умовою забезпечення одержувачам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можливості відписки від подібної розсилки (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opt-out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>). При цьому слід зазначити,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що хоча аналіз Закону свідчить про імплементацію багатьох положень Директиви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2000/31/ЄС Європейського парламенту та Ради «Про деякі правові аспекти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інформаційних послуг, зокрема, електронної комерції, на внутрішньому ринку»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(«Директива про електронну комерцію») (далі – Директива 2000/31/ЄС),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зіставивши їх положення,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можна відзначити відсутність у національному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законодавстві обов’язку фіксації відмови від подібної розсилки шляхом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реєстрації у відповідному реєстрі відмов (згідно ч. 2 ст. 7 Директиви 2000/31/ЄС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 ньому реєструються фізичні особи, які не бажають отримувати такі комерційні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повідомлення), що б мало наслідком надійний захист прав таких учасників.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Шляхом надсилання комерційних електронних повідомлень може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здійснюватись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інформування потенційних покупців (замовників, споживачів)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щодо товарів, робіт, послуг. Якщо такі повідомлення містять пропозиції щодо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укладення договору та розраховані на невизначене коло осіб, їх можна вважати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електронними повідомленнями рекламного характеру, й хоча такі повідомлення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і можуть розсилатися за конкретним переліком адресатів, однак вони не мають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прив’язки до конкретно визначеного акцептанта.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 деяких випадках комерційне електронне повідомлення може набувати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ознак публічної оферти. Від електронних комерційних повідомлень слід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відрізняти випадки, коли фактично висловлюється пропозиція укласти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електронний правочин.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Взагалі питання про публічну оферту і доцільність її закріплення в ЦК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України як загальної норми для всіх видів договорів (а не тільки для договорів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роздрібної купівлі-продажу, як це має місце на сьогодні в ст.699 ЦК України)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неодноразово підіймалося вченими. Адресована невизначеному колу осіб, така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оферта містить не тільки всі істотні умови, а й однозначний намір укласти договір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із будь</w:t>
      </w:r>
      <w:r w:rsidR="007114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якою особою, яка відповість на цю пропозицію.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Фактично єдиним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обмеженням кола потенційних адресатів (в електронній комерції – К. І.) є реальна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можливість – фізична, технічна або ж програмна – отримати доступ до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ознайомлення зі змістом публічної оферти, а у випадку її розміщення на веб-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сайтах продавців товарів, робіт, послуг кількість таких суб’єктів може залежати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також від необхідності проходження реєстрації та/або створення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аккаунту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(або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власного кабінету) користувача.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8E3E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Згідно з універсальним правилом ЦК України договір є укладеним, якщо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сторони в належній формі досягли згоди з усіх істотних умов договору (ч. 1 ст.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638). Крім істотних умов в електронному договорі можуть бути передбачені 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інші додаткові умови, приблизний перелік яких наводиться законодавцем,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більшість з яких обумовлені саме способом укладення договору – за допомогою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електронних засобів зв’язку. </w:t>
      </w:r>
    </w:p>
    <w:p w:rsidR="0071143B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Зокрема, у договір можуть включатися умови, що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містяться в іншому електронному документі шляхом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перенаправлення</w:t>
      </w:r>
      <w:proofErr w:type="spellEnd"/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(відсилання) до нього. І хоча від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оферента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вимагається надання безперешкодного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доступу до електронних документів, що містять такі умови, акцептанту слід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проявляти уважність та достатню розумність, оскільки Закон закріплює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презумпцію поінформованості, обізнаності сторін щодо таких умов, якщо вони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мали змогу ознайомитися з ним. Тому якщо можливість ознайомлення була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надана, а сторона в силу суб’єктивних обставин цього не зробила, це не може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бути підставою для визнання правочину нікчемним. Зі свого боку, це вимагає від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оферента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зазначати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перенаправлення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до іншого документа таким чином, щоб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акцептант не міг його пропустити.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Можливі способи укладення договору з використанням мережі Інтернет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зводяться до обміну електронними повідомленнями та заповнення веб-форм. При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цьому акцепт, як правило, здійснюється в такій саме формі, що й оферта, або 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формі, зазначеній у самій пропозиції (зокрема, заповнення як відповідь 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публічну оферту певних форм на веб-сторінках, що характерно для укладання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договору через інтернет-магазини).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43B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Разом із тим позитивна відповідь на пропозицію укласти договір може бути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зроблена й шляхом здійснення конклюдентних дій, тобто таких, які однозначно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свідчитимуть про бажання акцептанта встановити правовідносини з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оферентом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і,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як наслідок, прийняти на себе відповідні права й обов’язки. Однак подібне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волевиявлення на укладення договору допустимо, якщо воно відповідатиме низці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вимог (умов), передбачених ЦК України та Законом, а саме: ці дії, по-перше,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передбачені в якості акцепту, тобто в оферті чітко вказана можливість надання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акцепту шляхом учинення певних дій і в інформаційній системі (на сайті,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зокрема, інтернет-магазину) чітко роз’яснений зміст цих дій; по-друге, мають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вчинятися відповідно до вказаних у пропозиції умов договору (вони не можуть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суперечити предмету домовленості); по-третє, мають здійснюватися в межах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строку для відповіді.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чином, вчинення цих дій є одночасно і згодою –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акцептом, і частковим виконанням умов договору.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Акцепт конклюдентними діями є доволі усталеною практикою при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укладенні договорів купівлі-продажу, які передбачають онлайн оплату товару.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 цьому, якщо така оплата не була здійснена протягом строку для акцепту,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оферта вважається неприйнятою, а у разі, коли окрім здійснення оплати інші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умови та/або всі відомості, визначені в пропозиції, не були виконані, такі дії 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вважатимуться акцептом, а оплата як неналежна підлягає поверненню особі, яка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її здійснила.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Традиційно факт укладення правочину вимагає підтвердження, в тому числі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й за межами мережі (по телефону), що значно зменшує ризики викривлення,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втрати або затримки інформації (волевиявлення) в мережі, й відповідно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викликаною цим можливість виникнення збитків.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До речі, цього вимагає 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тільки принцип розумності (ч. 11 ст. 11 Закону): покупець (замовник, споживач)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повинен отримати підтвердження вчинення електронного правочину в формі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електронного документа, квитанції, товарного чи касового чека, квитка, талона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чи іншого документа в момент учинення правочину або виконання продавцем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обов’язку передати покупцеві товар.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Оскільки електронні договори в силу свого відплатного характеру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передбачають здійснення оплати за товари, роботи, послуги, і ці відносини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безпосередньо пов’язані із виконанням договору, постає питання щодо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розрахунків у сфері електронної комерції.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Так, умови щодо способів, строків,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порядку розрахунків між сторонами визначаються в електронному договорі 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урахуванням вимог спеціального законодавства.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Механізми оплати залежать від багатьох факторів, зокрема таких як вид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договору – вільно регульований чи приєднання; роль Інтернету при укладенні та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виконанні договору: одні й укладаються, і виконуються онлайн (наприклад,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комп’ютерна програма може бути безпосередньо завантажена з інтернет-сайту),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інші – укладаються онлайн, а виконуються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офлайн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Залежно від цього різняться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способи розрахунків, що припускають використання платіжних інструментів,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електронних грошей, переказ коштів або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оплату готівкою з дотриманням вимог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законодавства щодо оформлення готівкових та безготівкових розрахунків, 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також інших передбачених чинним законодавством способів.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Отже, проведення розрахунків зводиться, по-перше, до готівкових та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безготівкових платежів, що зумовлено існуванням таких форм коштів, як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готівкова (тобто, грошові знаки – банкноти й монети) та безготівкова (у формі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записів на рахунках у банках).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За загальним правилом розрахунки між юридичними особами, а також за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участю фізичних осіб, які пов’язані зі здійсненням ними підприємницької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діяльності, здійснюються в безготівковій формі, між тим, якщо інше не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встановлено законом, ЦК України дозволяє їх проведення й готівкою; розрахунки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 участю фізичних осіб, що не пов’язані зі здійсненням ними підприємницької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діяльності, здійснюються як готівкою, так і безготівково (ст. 1087 ЦК).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 цьому готівкові розрахунки матимуть місце, коли оплата здійснюється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покупцем у місці проведення розрахунків (в офісі інтернет-торговця), через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програмно-технічний комплекс самообслуговування (ПТКС)1 чи при отриманні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товару від кур’єра або в пункті видачі замовлень (на пошті).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Готівкові розрахунки регулюються, зокрема, Положенням про ведення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касових операцій у національній валюті в Україні, що передбачає їх здійснення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через касу. Такі касові операції оформляються касовими ордерами, видатковими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відомостями, розрахунковими документами, документами за операціями із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застосуванням платіжних карток, іншими касовими документами, які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підтверджували би факт продажу товарів, надання послуг чи отримання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готівкових коштів.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При цьому слід зважати на можливі обмеження щодо граничної суми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розрахунків готівкою, які встановлюються Національним банком України, – 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сьогодні це постанова Правління Національного банку України «Про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встановлення граничної суми розрахунків готівкою». У контексті нашого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дослідження такі обмеження стосуються лише проведення готівкових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розрахунків між фізичною особою і підприємством (підприємцем) та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підприємств (підприємців) між собою. І хоча вказаною Постановою передбачена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гранична сума й щодо розрахунків готівкою фізичних осіб між собою, це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стосується лише тих випадків, коли між ними укладаються договори купівлі-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продажу, які підлягають нотаріальному посвідченню, а такі відносини, як нами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вже раніше зазначалося, не підпадають під регулювання Закону.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Таким чином,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для цілей електронної комерції фізичні особи мають право здійснювати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розрахунки між собою на будь-яку суму не тільки шляхом перерахування коштів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 поточного рахунку на поточний, а й готівкою.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Не дивлячись на те, що частка готівкових розрахунків в Україні, як і в усьому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світі, все ще залишається значною, спостерігається активний розвиток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безготівкового сегменту фінансового сектора економіки й поступовий перехід до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електронних систем платежів.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Загальні засади та порядок здійснення безготівкових розрахунків визначені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чинним законодавством.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Так, безготівкові розрахунки – це перерахування певної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суми коштів з рахунків платників на рахунки отримувачів, а також перерахування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банками за дорученням підприємств і фізичних осіб коштів, унесених ними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готівкою в касу банку, на рахунки отримувачів коштів (п. 1.4. Інструкції про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безготівкові розрахунки в Україні в національній валюті).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Платежі, що виходять за межі визначених законодавством граничних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готівкових розрахунків сум, мають проводитися у безготівковій формі через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банки або небанківські фінансові установи, які в установленому законодавством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порядку отримали ліцензію на переказ коштів без відкриття рахунку шляхом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перерахування коштів з поточного рахунку на поточний рахунок або внесення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коштів до банку для подальшого їх перерахування на поточні рахунки.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Разом із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тим, якщо підприємства (підприємці) та фізичні особи здійснюють готівкові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розрахунки без відкриття поточного рахунку шляхом унесення до банків готівки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для подальшого її перерахування на рахунки інших підприємств (підприємців)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або фізичних осіб, то такі розрахунки для платників коштів є готівковими, а для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отримувачів коштів – безготівковими.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По-друге, для оплати допускається використання електронних грошей, про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що безпосередньо зазначається законодавцем. Їх регламентація й залучення в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оборот привернули увагу вчених і породили активні спори про їх правову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природу. Вони не є грошима в прямому значенні цього слова: якщо розглядати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електронні гроші як вид грошей (як родової категорії) це неодмінно має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спричинити тотожність механізму їх випуску, однак звернення до законодавства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свідчить про помилковість такого підходу, оскільки єдиним емітентом грошей 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Національний банк України, а електронні гроші </w:t>
      </w:r>
      <w:proofErr w:type="spellStart"/>
      <w:r w:rsidRPr="00DB6CB2">
        <w:rPr>
          <w:rFonts w:ascii="Times New Roman" w:hAnsi="Times New Roman" w:cs="Times New Roman"/>
          <w:color w:val="000000"/>
          <w:sz w:val="28"/>
          <w:szCs w:val="28"/>
        </w:rPr>
        <w:t>емітуються</w:t>
      </w:r>
      <w:proofErr w:type="spellEnd"/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 банком.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Електронні гроші являють собою одиниці вартості, які зберігаються на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електронному пристрої, приймаються як засіб платежу іншими особами, ніж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особа, яка їх випускає, та є грошовим зобов’язанням цієї особи, що виконується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 готівковій або безготівковій формах (п. 15.1 ст. 15 Закону України «Про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платіжні системи та переказ коштів в Україні»).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Механізм їх використання зводиться до наступного: суб’єкту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господарювання або фізичній особі (користувачам) в обмін на готівкові або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безготівкові кошти надається їх еквівалент – електронний засіб платежу, обіг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якого відбувається всередині певного платіжного середовища.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Ці електронні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гроші користувач – суб’єкт господарювання має право використовувати для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здійснення оплати товарів, робіт та послуг, а користувач – фізична особа окрім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наведеного – також здійснювати їх переказ іншим користувачам – фізичним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особам. Поки відбуваються розрахунки електронними грошима, гроші осіб, які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придбали електронні гроші залишаються без руху.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Після завершення розрахунків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учасник платіжної середи, наприклад, організація, яка приймає електронні гроші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 товари й послуги, може вивести отримані електронні гроші з платіжної середи,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зокрема, шляхом переведення на свій банківський рахунок, конвертуючи тим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самим електронні гроші у звичайні безготівкові. Для проведення операцій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використовується окремий обліковий запис користувача або персональний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«електронний гаманець», кошти на якому виражені в електронних грошових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одиницях.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Суб’єкт господарювання, який приймає електронні гроші як оплату платежу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за товари, роботи чи послуги, має право використовувати отримані електронні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гроші виключно для обміну на безготівкові кошти або повертати їх користувачам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у разі повернення ними відповідно до Закону України «Про захист прав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споживачів» товарів, придбаних за електронні гроші.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Правова природа електронних грошей схожа з безготівковими коштами (як і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безготівкові вони не мають фізичного втілення – не сприймаються дотиком,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можуть ураховуватися й передаватися по електронних каналах зв’язку), проте має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певні відмінності: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(1) електронні гроші враховуються не на банківському рахунку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клієнта, а на особливому рахунку емітента (так званому «віртуальному рахунку»);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(2) первинна емісія електронних грошей відбувається за узгодженими з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Національним банком України правилам;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(3) обіг електронних грошей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обмежений певною платіжною середою;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(4) розрахунки електронними грошима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можуть носити анонімний характер;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(5) обмежене коло суб’єктів, які приймають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 xml:space="preserve">такі гроші як засіб платежу; </w:t>
      </w:r>
    </w:p>
    <w:p w:rsidR="00EF22A5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(6) обмеження максимальної суми електронних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грошей, яка може перебувати в розпорядженні користувача .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93E" w:rsidRPr="0071143B" w:rsidRDefault="00B76366" w:rsidP="00711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B2">
        <w:rPr>
          <w:rFonts w:ascii="Times New Roman" w:hAnsi="Times New Roman" w:cs="Times New Roman"/>
          <w:color w:val="000000"/>
          <w:sz w:val="28"/>
          <w:szCs w:val="28"/>
        </w:rPr>
        <w:t>Короткий аналіз основних положень, пов’язаних із електронною комерцією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взагалі і, зокрема укладенням договорів у мережі Інтернет, виявив як сильні, так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і слабкі місця Закону. При цьому деякі питання Закон взагалі оминув увагою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(наприклад, укладення договорів на інтернет-аукціонах, розмежування спаму й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електронних комерційних повідомлень). Тому подальша законопроектна робота</w:t>
      </w:r>
      <w:r w:rsidR="008E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CB2">
        <w:rPr>
          <w:rFonts w:ascii="Times New Roman" w:hAnsi="Times New Roman" w:cs="Times New Roman"/>
          <w:color w:val="000000"/>
          <w:sz w:val="28"/>
          <w:szCs w:val="28"/>
        </w:rPr>
        <w:t>має провадитися саме в цьому напрямку.</w:t>
      </w:r>
      <w:r w:rsidR="008E3E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493E" w:rsidRPr="00711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B5C"/>
    <w:multiLevelType w:val="hybridMultilevel"/>
    <w:tmpl w:val="3176C936"/>
    <w:lvl w:ilvl="0" w:tplc="E662CA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5F473D"/>
    <w:multiLevelType w:val="hybridMultilevel"/>
    <w:tmpl w:val="80A8389C"/>
    <w:lvl w:ilvl="0" w:tplc="EEB898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3467207"/>
    <w:multiLevelType w:val="hybridMultilevel"/>
    <w:tmpl w:val="07B61B64"/>
    <w:lvl w:ilvl="0" w:tplc="EEB89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2B299C"/>
    <w:multiLevelType w:val="hybridMultilevel"/>
    <w:tmpl w:val="32B0FD9A"/>
    <w:lvl w:ilvl="0" w:tplc="EEB898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9663040"/>
    <w:multiLevelType w:val="hybridMultilevel"/>
    <w:tmpl w:val="2FF641A8"/>
    <w:lvl w:ilvl="0" w:tplc="B9E293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3E"/>
    <w:rsid w:val="00035A57"/>
    <w:rsid w:val="000A20E3"/>
    <w:rsid w:val="000E5488"/>
    <w:rsid w:val="0017757F"/>
    <w:rsid w:val="003842FB"/>
    <w:rsid w:val="003D3F1C"/>
    <w:rsid w:val="00414B64"/>
    <w:rsid w:val="0071143B"/>
    <w:rsid w:val="0085493E"/>
    <w:rsid w:val="008E2DD2"/>
    <w:rsid w:val="008E3EF3"/>
    <w:rsid w:val="00974FD4"/>
    <w:rsid w:val="00B43A4D"/>
    <w:rsid w:val="00B76366"/>
    <w:rsid w:val="00CA4252"/>
    <w:rsid w:val="00D92789"/>
    <w:rsid w:val="00DB6CB2"/>
    <w:rsid w:val="00E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B36C"/>
  <w15:chartTrackingRefBased/>
  <w15:docId w15:val="{FF7F28AC-12D9-45B4-A456-BFF3F39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2C1D-914D-451A-9C7C-03AC293D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20272</Words>
  <Characters>11556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21</cp:revision>
  <dcterms:created xsi:type="dcterms:W3CDTF">2023-10-25T03:06:00Z</dcterms:created>
  <dcterms:modified xsi:type="dcterms:W3CDTF">2023-11-04T13:10:00Z</dcterms:modified>
</cp:coreProperties>
</file>