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09" w:rsidRPr="002A1709" w:rsidRDefault="002A1709" w:rsidP="002A1709">
      <w:pPr>
        <w:pStyle w:val="121"/>
        <w:widowControl w:val="0"/>
        <w:shd w:val="clear" w:color="auto" w:fill="auto"/>
        <w:spacing w:before="0" w:line="360" w:lineRule="auto"/>
        <w:ind w:firstLine="567"/>
        <w:jc w:val="both"/>
        <w:rPr>
          <w:rStyle w:val="22"/>
          <w:i w:val="0"/>
          <w:sz w:val="28"/>
          <w:szCs w:val="28"/>
          <w:lang w:val="uk-UA" w:eastAsia="uk-UA"/>
        </w:rPr>
      </w:pPr>
      <w:r w:rsidRPr="002A1709">
        <w:rPr>
          <w:rStyle w:val="22"/>
          <w:i w:val="0"/>
          <w:sz w:val="28"/>
          <w:szCs w:val="28"/>
          <w:lang w:val="uk-UA" w:eastAsia="uk-UA"/>
        </w:rPr>
        <w:t>Тема 3. Облік грошових коштів</w:t>
      </w:r>
    </w:p>
    <w:p w:rsidR="002A170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709" w:rsidRPr="00165140" w:rsidRDefault="002A1709" w:rsidP="002A1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Склад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грошових</w:t>
      </w:r>
      <w:proofErr w:type="spell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коштів</w:t>
      </w:r>
      <w:proofErr w:type="spell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характеристика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рахунків</w:t>
      </w:r>
      <w:proofErr w:type="spell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для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обліку</w:t>
      </w:r>
      <w:proofErr w:type="spellEnd"/>
    </w:p>
    <w:p w:rsidR="002A1709" w:rsidRPr="00165140" w:rsidRDefault="002A1709" w:rsidP="002A1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3.2. </w:t>
      </w:r>
      <w:proofErr w:type="spellStart"/>
      <w:proofErr w:type="gram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контроль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касових</w:t>
      </w:r>
      <w:proofErr w:type="spell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операцій</w:t>
      </w:r>
      <w:proofErr w:type="spell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грошей в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касі</w:t>
      </w:r>
      <w:proofErr w:type="spellEnd"/>
    </w:p>
    <w:p w:rsidR="002A1709" w:rsidRPr="00165140" w:rsidRDefault="002A1709" w:rsidP="002A1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3</w:t>
      </w:r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Документальне</w:t>
      </w:r>
      <w:proofErr w:type="spell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оформлення</w:t>
      </w:r>
      <w:proofErr w:type="spell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операцій</w:t>
      </w:r>
      <w:proofErr w:type="spell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банківських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рахунках</w:t>
      </w:r>
      <w:proofErr w:type="spellEnd"/>
    </w:p>
    <w:p w:rsidR="002A170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4</w:t>
      </w:r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proofErr w:type="gram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короткострокових</w:t>
      </w:r>
      <w:proofErr w:type="spell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фінансових</w:t>
      </w:r>
      <w:proofErr w:type="spell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інвестицій</w:t>
      </w:r>
      <w:proofErr w:type="spellEnd"/>
    </w:p>
    <w:p w:rsidR="002A1709" w:rsidRDefault="002A1709" w:rsidP="002A1709">
      <w:pPr>
        <w:rPr>
          <w:rFonts w:ascii="Times New Roman" w:hAnsi="Times New Roman" w:cs="Times New Roman"/>
          <w:sz w:val="28"/>
          <w:szCs w:val="28"/>
        </w:rPr>
      </w:pPr>
    </w:p>
    <w:p w:rsidR="002A1709" w:rsidRDefault="002A1709" w:rsidP="002A1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3.1. Склад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грошових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коштів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характеристика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рахунків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для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їх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іку</w:t>
      </w:r>
      <w:proofErr w:type="spellEnd"/>
    </w:p>
    <w:p w:rsidR="002A1709" w:rsidRPr="007125F7" w:rsidRDefault="002A1709" w:rsidP="002A1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2A1709" w:rsidRPr="007125F7" w:rsidRDefault="002A1709" w:rsidP="002A1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Грошові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кошти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їх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еквіваленти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відносяться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найліквіднішої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частин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и</w:t>
      </w:r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активів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Відповідно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МСФЗ до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грошових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коштів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належать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готівка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касі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монети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банкноти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валюта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депозити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запитання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поточні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депозитні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рахунки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банках, </w:t>
      </w:r>
      <w:proofErr w:type="gram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</w:t>
      </w:r>
      <w:proofErr w:type="gram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використання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яких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немає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обмежень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Крім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того, до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грошових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коштів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gram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ідносять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2A1709" w:rsidRPr="007125F7" w:rsidRDefault="002A1709" w:rsidP="002A17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банківські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переказні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векселі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переказні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векселі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видані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одним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банком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іншому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банку);</w:t>
      </w:r>
    </w:p>
    <w:p w:rsidR="002A1709" w:rsidRDefault="002A1709" w:rsidP="002A1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грошові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перекази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(чеки,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виписані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банком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отримувачу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платежу за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отримані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підприємств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організацій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установ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грошові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кошти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);</w:t>
      </w:r>
    </w:p>
    <w:p w:rsidR="002A1709" w:rsidRDefault="002A1709" w:rsidP="002A1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- </w:t>
      </w:r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чеки,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виписані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касиром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банку (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відображають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зобов’язання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данного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банку);</w:t>
      </w:r>
    </w:p>
    <w:p w:rsidR="002A1709" w:rsidRDefault="002A1709" w:rsidP="002A1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- </w:t>
      </w:r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чеки,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засвідчені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банком (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підписом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банку про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гарантію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платежу);</w:t>
      </w:r>
    </w:p>
    <w:p w:rsidR="002A1709" w:rsidRDefault="002A1709" w:rsidP="002A1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персональні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чеки (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видані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фізичним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особам);</w:t>
      </w:r>
    </w:p>
    <w:p w:rsidR="002A1709" w:rsidRPr="00D06B3F" w:rsidRDefault="002A1709" w:rsidP="002A1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- 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ощадні рахунки.</w:t>
      </w:r>
    </w:p>
    <w:p w:rsidR="002A1709" w:rsidRPr="00D06B3F" w:rsidRDefault="002A1709" w:rsidP="002A1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До еквівалентів грошових коштів належать короткострокові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високоліквідні інвестиції, які вільно конвертуються у відповідні суми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грошових коштів і яким притаманний незначний ризик зміни вартості.</w:t>
      </w:r>
    </w:p>
    <w:p w:rsidR="002A1709" w:rsidRPr="007125F7" w:rsidRDefault="002A1709" w:rsidP="002A1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Стандартами США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передбачається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включення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грошових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коштів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proofErr w:type="gram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ідприємства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готівки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коштів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поточних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рахунках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простих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банківських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чеків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суми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компенсаційного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залишку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які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не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можна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вільно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конвертувати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мінімальна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сума,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зберігається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підприємством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своєму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рахунку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як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забезпечення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 xml:space="preserve">кредитного договору).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Проте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грошові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(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поштові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марки,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оплачені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квитки),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які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стандартами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України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є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грошовими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коштами, в США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вважаються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авансами.</w:t>
      </w:r>
    </w:p>
    <w:p w:rsidR="002A1709" w:rsidRPr="007125F7" w:rsidRDefault="002A1709" w:rsidP="002A1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Грошові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кошти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ідприємства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можна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поділити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дві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категорії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2A1709" w:rsidRPr="007125F7" w:rsidRDefault="002A1709" w:rsidP="002A1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грошові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кошти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касі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2A170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грошові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кошти</w:t>
      </w:r>
      <w:proofErr w:type="spellEnd"/>
      <w:r w:rsidRPr="007125F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банку.</w:t>
      </w:r>
    </w:p>
    <w:p w:rsidR="002A1709" w:rsidRPr="00D06B3F" w:rsidRDefault="002A1709" w:rsidP="002A1709">
      <w:pPr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У західноєвропейських країнах кошти враховують у фінансовій бухгалтерії на рахунках «Каса» і «Рахунки в банках» з поділом їх на національну та іноземну валюту. У балансі грошові кошти відображають за статтями «Каса» і «Рахунки в банках».</w:t>
      </w:r>
    </w:p>
    <w:p w:rsidR="002A1709" w:rsidRPr="002A170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2A1709" w:rsidRPr="002A170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2A1709" w:rsidRPr="00165140" w:rsidRDefault="002A1709" w:rsidP="002A1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3.2. </w:t>
      </w:r>
      <w:proofErr w:type="spellStart"/>
      <w:proofErr w:type="gram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контроль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касових</w:t>
      </w:r>
      <w:proofErr w:type="spell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операцій</w:t>
      </w:r>
      <w:proofErr w:type="spell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грошей в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касі</w:t>
      </w:r>
      <w:proofErr w:type="spellEnd"/>
    </w:p>
    <w:p w:rsidR="002A1709" w:rsidRDefault="002A1709" w:rsidP="002A170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На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зарубіжних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ідприємствах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обліку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контролю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касової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готівки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приділяють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значну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увагу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при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цьому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використовують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спеціальну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систему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внутрішнього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контролю, яка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включає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такі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заходи: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складання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плану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організації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внутрішнього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контролю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касової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готівки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збереження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грошових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коштів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досягнення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точного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оброблення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даних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складання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бухгалтерської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звітності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Методи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захисту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готівки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контролю за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її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збереженням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можуть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бути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ізними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Вони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ґрунтуються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таких принципах: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готівки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слід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здійснювати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момент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її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надходження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усю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готівку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яка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надійшла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необхідно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здавати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день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надходження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працівник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який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одержує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готівку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не повинен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займатися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її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іком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у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бухгалтерії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працівник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який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відповідає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отримання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готівки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не повинен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займатися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її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розподілом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Кожне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розробляє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свої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заходи контролю за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виплатою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готівки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зокрема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типових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можна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віднести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такі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для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виплат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необхідно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одержувати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попередній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дозвіл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 xml:space="preserve">-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усі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чеки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повинні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мати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серійний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номер, доступ до них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має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бути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обмежений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бажано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щоб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кожен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чек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ідписували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дві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особи;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оплат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первинних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документах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слід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проставляти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дату, номер чека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штамп «Оплачено»;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особи,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ідписують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чеки, не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повинні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мати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доступу до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чеків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займатися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звірянням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рахунків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інвентаризація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готівки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касі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на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банківських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рахунках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повинна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здійснюватись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не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ідше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одного разу на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місяць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За результатами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інвентаризації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касі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може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бути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виявлено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нестачі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надлишки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грошей</w:t>
      </w:r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Ї</w:t>
      </w:r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х</w:t>
      </w:r>
      <w:proofErr w:type="spellEnd"/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відносять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рахунок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"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Нестачі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надлишки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касі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",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який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є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активно-пасивним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За дебетом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рахунка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відображають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величину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нестачі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за кредитом –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надлишок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ізних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торгових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підприємствах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контроль за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грошовими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надходженнями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може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здійснюватися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двома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способами: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через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касові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апарати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через систему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м'яких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чекі</w:t>
      </w:r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spellEnd"/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Перший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спосіб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Касовий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апарат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має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контрольну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касову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стр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ічку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на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якій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відображаються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надходження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день.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Наприкінці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дня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касир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звіряє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суму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готівки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із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сумою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виручки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касовим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апаратом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передає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її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старшому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касиру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У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бухгалтерії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основі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даних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касової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стр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ічки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суму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виручки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заносять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Журнал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грошови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надходжень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Другий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спосіб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Продавці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мають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попередньо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пронумерован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чеки (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квитанції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). У момент продажу товару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продавець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виписує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чек у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двох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примірниках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(перший – для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покупця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другий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– для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ідприємства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).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Наприкінці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дня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касир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визначає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суму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виручки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'якими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чеками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зіставляє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її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із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загальною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сумою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виручки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касі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Операції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касі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відображають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у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Журналі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грошових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надходжень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Журналі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витрат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грошей.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Із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журналів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ідсумки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переносять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Журнал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реєстрації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операцій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потім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– в Головну книгу.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Наприкінці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звітного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періоду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дебет-залишок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нестачі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надлишку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касі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показують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як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інші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втрати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а кредит-сальдо по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списують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рахунок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«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Інші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доходи».</w:t>
      </w:r>
    </w:p>
    <w:p w:rsidR="002A1709" w:rsidRPr="00D06B3F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Витрата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готівкових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коштів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має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оформлятися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чеком.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Більшість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компаній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виписування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чеків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др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ібні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платежі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вважає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недоцільним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дорогим. Для таких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цілей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створюється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фонд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др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ібної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готівки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через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який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здійснюються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дрібні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платежі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Створення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фонду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дрібних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сум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відбувається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шляхом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визначення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видів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планової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величини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дрібних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витрат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певний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період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розрахунку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2 - 4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тижні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). При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видачі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розрахованої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суми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ідзвітній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особі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виписується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чек.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видаються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каси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зберігаються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у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сейфі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столі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конверті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про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окремих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країнах</w:t>
      </w:r>
      <w:proofErr w:type="spellEnd"/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робиться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запис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: «Фонд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др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ібних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сум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».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Одночасно з готівкою підзвітній особі також видають пронумеровані квитанції (чеки) або ваучери для відображення витрачання грошей з фонду.</w:t>
      </w:r>
    </w:p>
    <w:p w:rsidR="002A1709" w:rsidRPr="00D06B3F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Витрачання грошей здійснюється тільки на визначені цілі з оформленням квитанції (чека) або ваучера, де вказуються дата, сума й призначення витрат та проставляється підпис особи, яка одержує гроші. У встановлені дати підзвітна особа на основі квитанцій (чеків) і ваучерів складає звіт про витрати, подає його до бухгалтерії, і фонд дрібних сум поповнюється шляхом виписування чека на ім'я підзвітної особи.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Невикористаний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залишок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фонду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квитанцій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чеків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ваучерів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повинні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становити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разом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фіксовану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величину фонду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др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ібних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сум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Якщо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при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цьому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встановлюються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розбіжності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нестачі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надлишки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 </w:t>
      </w:r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гот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івці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то вони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відображаються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«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Нестачі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надлишки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грошей по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касі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».</w:t>
      </w:r>
    </w:p>
    <w:p w:rsidR="002A1709" w:rsidRDefault="002A1709" w:rsidP="002A1709">
      <w:pPr>
        <w:spacing w:after="0" w:line="360" w:lineRule="auto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2A1709" w:rsidRPr="00165140" w:rsidRDefault="002A1709" w:rsidP="002A1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3</w:t>
      </w:r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Документальне</w:t>
      </w:r>
      <w:proofErr w:type="spell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оформлення</w:t>
      </w:r>
      <w:proofErr w:type="spell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операцій</w:t>
      </w:r>
      <w:proofErr w:type="spell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банківських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рахунках</w:t>
      </w:r>
      <w:proofErr w:type="spellEnd"/>
    </w:p>
    <w:p w:rsidR="002A1709" w:rsidRDefault="002A1709" w:rsidP="002A1709">
      <w:pPr>
        <w:spacing w:after="0" w:line="360" w:lineRule="auto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2A1709" w:rsidRPr="00D06B3F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У зарубіжних країнах для зберігання грошових коштів і здійснення розрахунків відкривають банківські рахунки, що посилює контроль за  наявністю і рухом коштів.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Види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банківських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рахункі</w:t>
      </w:r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spellEnd"/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може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відкрити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фірма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 xml:space="preserve">-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банківський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чековий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рахунок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простий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загальний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банківський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рахунок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рахунок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для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розрахунків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персоналом;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для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кредитних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ліній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Для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відкриття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банківського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рахунка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фірма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надає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банк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картку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із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зразками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ідписів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осіб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мають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право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підписувати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чеки, та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інші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банківські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документи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В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окремих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випадках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банк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може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вимагати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фірми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надати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інформацію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про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її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фінансовий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стан.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ісля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відкриття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рахунка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банк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друкує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видає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клієнтові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чекову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книжку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пронумерованими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чеками, 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також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виписує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депозитні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бланки.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Ц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документи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містять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назву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банку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фірми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адресу та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інші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необхідні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реквізити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Банківські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депозити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здійснюють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відповідальні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особи,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найчастіше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–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старші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касири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ідприємства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На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кожен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депозит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виписують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депозитний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бланк у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двох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примірниках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: перший (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оригінал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 – для банку,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другий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штампом банку –  для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ідприємства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У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цьому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бланку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вказують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суму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внеску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готівкою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також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перелічують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внески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чеками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із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зазначенням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їх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номера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суми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У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кінці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бланка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проставляють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загальну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суму депозиту.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може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отримувати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чеки як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інших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підприємств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так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виписувати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самостійно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Чек –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це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письмовий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наказ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ідприємства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банку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перерахувати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суму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грошових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коштів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зазначених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у чеку.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Наприкінці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місяця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банк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надсилає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звіт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про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його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рахунок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у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якому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вказує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таке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оплачен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банком чеки та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інші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перерахування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рахунка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депозити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інші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надходження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залишок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ісля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щоденних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операцій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Крім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того, банк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додає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звіту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меморандуми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як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ав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ізо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пояснюють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інші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записи за дебетом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кредитом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рахунка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При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цьому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дебетовий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меморандум –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це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списання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грошей за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банківські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послуги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переведення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фонду в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інші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регіони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тощо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Кредитовий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меморандум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містить</w:t>
      </w:r>
      <w:proofErr w:type="spellEnd"/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такі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операції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як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надходження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векселя до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отримання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зарахування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суми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банківський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рахунок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 xml:space="preserve">На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практиці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можуть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виникати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розбіжності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щодо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залишків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банківському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між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звітом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банку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іковими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записами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підприємства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Причинами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розбіжностей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можуть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бути: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деякі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операції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записані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ікових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даних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компанії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але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ще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не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містяться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облікових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записах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банку: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видані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чеки (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ще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не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пред’явлені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отримувачем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банк для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сплати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депозити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дорозі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відправлені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банку,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але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ще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не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отримані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ним);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деякі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банківські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операції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ще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не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відображаються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бухгалтерських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записах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компанії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: плата банку за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обслуговування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; чеки, за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якими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не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можна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отримати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(чеки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інших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фізичних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осіб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передані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компанією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банку,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але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ще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не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оплачені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);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зароблені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відсотки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залишок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коштів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помилки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записах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2A1709" w:rsidRPr="00D903C9" w:rsidRDefault="002A1709" w:rsidP="002A1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Усі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розбіжності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мають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бути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відрегульовані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Слід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сказати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, на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відміну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нашої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практики, коли записи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операцій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здійснюються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тільки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основі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банківського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витягу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в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зарубіжних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країнах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перевага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надається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витягові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клієнтові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ісля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одержання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витягу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банку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він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ретельно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перевіряється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складається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для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врегулювання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погоджувальна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таблиця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Спочатку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таблицю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записують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залишки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даними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витягу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даними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фірми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Потім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відображаються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вс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розходження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відповідним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відображенням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рахунках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бухгалтерського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обліку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2A1709" w:rsidRDefault="002A1709" w:rsidP="002A1709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2A170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4</w:t>
      </w:r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proofErr w:type="gram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короткострокових</w:t>
      </w:r>
      <w:proofErr w:type="spell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фінансових</w:t>
      </w:r>
      <w:proofErr w:type="spellEnd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5140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інвестицій</w:t>
      </w:r>
      <w:proofErr w:type="spellEnd"/>
    </w:p>
    <w:p w:rsidR="002A1709" w:rsidRDefault="002A1709" w:rsidP="002A1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2A1709" w:rsidRPr="00D903C9" w:rsidRDefault="002A1709" w:rsidP="002A1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Фінансові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інвестиції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–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це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активи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утримуються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ідприємством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метою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збільшення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прибутку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(через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отримання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відсотків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дивідендів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зростання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вартості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капіталу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інших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вигод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для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інвестора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2A1709" w:rsidRPr="00D903C9" w:rsidRDefault="002A1709" w:rsidP="002A1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залежності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строку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утримання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фінансові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інвестиції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поділяються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поточні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короткострокові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) (до року) та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більше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року).</w:t>
      </w:r>
    </w:p>
    <w:p w:rsidR="002A1709" w:rsidRPr="00D903C9" w:rsidRDefault="002A1709" w:rsidP="002A1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До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короткострокових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фінансових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інвестицій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відносять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2A1709" w:rsidRDefault="002A1709" w:rsidP="002A1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акції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інших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підприємств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цінний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папір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свідчить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про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внесення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капітал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акціонерного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товариства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надає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право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її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власникові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одержання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частини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прибутку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у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формі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дивіденду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);</w:t>
      </w:r>
    </w:p>
    <w:p w:rsidR="002A1709" w:rsidRDefault="002A1709" w:rsidP="002A1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lastRenderedPageBreak/>
        <w:t>-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облігації (емісійний цінний папір, що засвідчує внесення її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власником грошових коштів і підтверджує зобов'язання відшкодувати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йому номінальну вартість цього цінного паперу в передбачений в ньому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строк з виплатою фіксованого відсотка);</w:t>
      </w:r>
    </w:p>
    <w:p w:rsidR="002A1709" w:rsidRPr="00D06B3F" w:rsidRDefault="002A1709" w:rsidP="002A1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інші короткострокові цінні папери: депозитні сертифікати банків;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грошові ринкові сертифікати, що випускаються ощадними і кредитними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установами; казначейські білети, що випускаються урядом; комерційні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папери, що випускаються корпораціями.</w:t>
      </w:r>
    </w:p>
    <w:p w:rsidR="002A1709" w:rsidRPr="00D903C9" w:rsidRDefault="002A1709" w:rsidP="002A1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Короткострокові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фінансові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інвестиції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є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високоліквідними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активами.</w:t>
      </w:r>
    </w:p>
    <w:p w:rsidR="002A1709" w:rsidRPr="00D903C9" w:rsidRDefault="002A1709" w:rsidP="002A1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За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івнем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ліквідності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вони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посідають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як правило, друге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місце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грошових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коштів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Частина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них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прирівнюється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грошових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коштів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є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еквівалентами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згідно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умовами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договору,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конвертуються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грошові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кошти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термін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трьох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місяців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).</w:t>
      </w:r>
    </w:p>
    <w:p w:rsidR="002A1709" w:rsidRPr="00D903C9" w:rsidRDefault="002A1709" w:rsidP="002A1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бухгалтерському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іку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поточні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фінансові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інвестиції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відображаються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їх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фактичною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собівартістю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до складу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якої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входять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2A1709" w:rsidRPr="00D903C9" w:rsidRDefault="002A1709" w:rsidP="002A1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ціна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придбання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2A1709" w:rsidRPr="00D903C9" w:rsidRDefault="002A1709" w:rsidP="002A17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брокерські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винагороди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2A1709" w:rsidRPr="00D903C9" w:rsidRDefault="002A1709" w:rsidP="002A1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плата за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послуги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гонорари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), в тому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числі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банківські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послуги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2A1709" w:rsidRPr="00D903C9" w:rsidRDefault="002A1709" w:rsidP="002A1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мито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2A1709" w:rsidRDefault="002A1709" w:rsidP="002A1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proofErr w:type="spellStart"/>
      <w:proofErr w:type="gram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короткострокових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фінансових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інвестицій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включає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операції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облік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придбання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купівлі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);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облік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доходів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дивідендів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процентів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);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облік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реалізації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цінних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паперів</w:t>
      </w:r>
      <w:proofErr w:type="spellEnd"/>
      <w:r w:rsidRPr="00D903C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2A1709" w:rsidRDefault="002A1709" w:rsidP="002A1709">
      <w:pPr>
        <w:pStyle w:val="121"/>
        <w:widowControl w:val="0"/>
        <w:shd w:val="clear" w:color="auto" w:fill="auto"/>
        <w:spacing w:before="0" w:line="240" w:lineRule="auto"/>
        <w:ind w:firstLine="709"/>
        <w:jc w:val="both"/>
        <w:rPr>
          <w:rStyle w:val="213pt2"/>
          <w:b w:val="0"/>
          <w:i w:val="0"/>
          <w:sz w:val="28"/>
          <w:szCs w:val="28"/>
          <w:lang w:val="uk-UA" w:eastAsia="uk-UA"/>
        </w:rPr>
      </w:pPr>
    </w:p>
    <w:p w:rsidR="00AD43F3" w:rsidRPr="002A1709" w:rsidRDefault="00AD43F3">
      <w:pPr>
        <w:rPr>
          <w:lang w:val="uk-UA"/>
        </w:rPr>
      </w:pPr>
    </w:p>
    <w:sectPr w:rsidR="00AD43F3" w:rsidRPr="002A1709" w:rsidSect="00AD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A30DF"/>
    <w:multiLevelType w:val="hybridMultilevel"/>
    <w:tmpl w:val="DBFAA112"/>
    <w:lvl w:ilvl="0" w:tplc="3F32E214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709"/>
    <w:rsid w:val="002A1709"/>
    <w:rsid w:val="00AD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uiPriority w:val="99"/>
    <w:locked/>
    <w:rsid w:val="002A1709"/>
    <w:rPr>
      <w:b/>
      <w:bCs/>
      <w:i/>
      <w:iCs/>
      <w:sz w:val="30"/>
      <w:szCs w:val="30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2A1709"/>
    <w:pPr>
      <w:shd w:val="clear" w:color="auto" w:fill="FFFFFF"/>
      <w:spacing w:before="300" w:after="0" w:line="370" w:lineRule="exact"/>
      <w:jc w:val="center"/>
      <w:outlineLvl w:val="0"/>
    </w:pPr>
    <w:rPr>
      <w:b/>
      <w:bCs/>
      <w:i/>
      <w:iCs/>
      <w:sz w:val="30"/>
      <w:szCs w:val="30"/>
    </w:rPr>
  </w:style>
  <w:style w:type="paragraph" w:styleId="a3">
    <w:name w:val="List Paragraph"/>
    <w:basedOn w:val="a"/>
    <w:uiPriority w:val="34"/>
    <w:qFormat/>
    <w:rsid w:val="002A1709"/>
    <w:pPr>
      <w:ind w:left="720"/>
      <w:contextualSpacing/>
    </w:pPr>
  </w:style>
  <w:style w:type="character" w:customStyle="1" w:styleId="22">
    <w:name w:val="Заголовок №22"/>
    <w:uiPriority w:val="99"/>
    <w:rsid w:val="002A1709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213pt2">
    <w:name w:val="Заголовок №2 + 13 pt2"/>
    <w:aliases w:val="Не полужирный3"/>
    <w:uiPriority w:val="99"/>
    <w:rsid w:val="002A1709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1690</Words>
  <Characters>9633</Characters>
  <Application>Microsoft Office Word</Application>
  <DocSecurity>0</DocSecurity>
  <Lines>80</Lines>
  <Paragraphs>22</Paragraphs>
  <ScaleCrop>false</ScaleCrop>
  <Company/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tetiana.moschytska</dc:creator>
  <cp:lastModifiedBy>tetiana.moschytska</cp:lastModifiedBy>
  <cp:revision>1</cp:revision>
  <dcterms:created xsi:type="dcterms:W3CDTF">2023-12-04T13:16:00Z</dcterms:created>
  <dcterms:modified xsi:type="dcterms:W3CDTF">2023-12-04T13:16:00Z</dcterms:modified>
</cp:coreProperties>
</file>