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E3" w:rsidRPr="002D62E3" w:rsidRDefault="002D62E3" w:rsidP="00D422A9">
      <w:pPr>
        <w:spacing w:after="0" w:line="360" w:lineRule="auto"/>
        <w:ind w:firstLine="426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Податок на доходи фізичних осіб (ПДФО) 2024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ПДФО ― це один із загальнодержавних податків. Регулює оподаткування ПДФО однойменний </w:t>
      </w:r>
      <w:hyperlink r:id="rId5" w:anchor="n3610" w:tgtFrame="_blank" w:history="1"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розділ IV Податкового кодексу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2D62E3" w:rsidRPr="002D62E3" w:rsidRDefault="002D62E3" w:rsidP="00D422A9">
      <w:pPr>
        <w:spacing w:after="0" w:line="360" w:lineRule="auto"/>
        <w:ind w:firstLine="426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Ставки ПДФО 2024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>Спершу про ті ставки ПДФО, які є зараз. Усі ставки ПДФО</w:t>
      </w:r>
      <w:r w:rsidR="00D422A9">
        <w:rPr>
          <w:rFonts w:ascii="Bookman Old Style" w:eastAsia="Times New Roman" w:hAnsi="Bookman Old Style" w:cs="Times New Roman"/>
          <w:sz w:val="24"/>
          <w:szCs w:val="24"/>
        </w:rPr>
        <w:t xml:space="preserve"> залишаються тими ж, які були, 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― ніяких змін не передбачається. Усі ці ставки наводимо у таблиці.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2051"/>
        <w:gridCol w:w="2658"/>
        <w:gridCol w:w="2368"/>
      </w:tblGrid>
      <w:tr w:rsidR="002D62E3" w:rsidRPr="002D62E3" w:rsidTr="002D62E3">
        <w:trPr>
          <w:jc w:val="center"/>
        </w:trPr>
        <w:tc>
          <w:tcPr>
            <w:tcW w:w="49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СТАВКИ ПДФО 2024</w:t>
            </w:r>
          </w:p>
        </w:tc>
      </w:tr>
      <w:tr w:rsidR="002D62E3" w:rsidRPr="002D62E3" w:rsidTr="002D62E3">
        <w:trPr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D422A9" w:rsidP="00D422A9">
            <w:pPr>
              <w:spacing w:after="0" w:line="240" w:lineRule="auto"/>
              <w:ind w:left="102" w:right="100" w:firstLine="24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18% </w:t>
            </w:r>
            <w:r w:rsidR="002D62E3" w:rsidRPr="00D422A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(основна)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0%**</w:t>
            </w:r>
          </w:p>
        </w:tc>
      </w:tr>
      <w:tr w:rsidR="002D62E3" w:rsidRPr="002D62E3" w:rsidTr="002D62E3">
        <w:trPr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numPr>
                <w:ilvl w:val="0"/>
                <w:numId w:val="1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hyperlink r:id="rId6" w:history="1">
              <w:r w:rsidRPr="00D422A9">
                <w:rPr>
                  <w:rFonts w:ascii="Bookman Old Style" w:eastAsia="Times New Roman" w:hAnsi="Bookman Old Style" w:cs="Times New Roman"/>
                  <w:color w:val="0000FF"/>
                  <w:sz w:val="20"/>
                  <w:szCs w:val="20"/>
                  <w:u w:val="single"/>
                </w:rPr>
                <w:t>зарплата</w:t>
              </w:r>
            </w:hyperlink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, </w:t>
            </w:r>
            <w:hyperlink r:id="rId7" w:history="1">
              <w:r w:rsidRPr="00D422A9">
                <w:rPr>
                  <w:rFonts w:ascii="Bookman Old Style" w:eastAsia="Times New Roman" w:hAnsi="Bookman Old Style" w:cs="Times New Roman"/>
                  <w:color w:val="0000FF"/>
                  <w:sz w:val="20"/>
                  <w:szCs w:val="20"/>
                  <w:u w:val="single"/>
                </w:rPr>
                <w:t>винагорода за цивільно-правовими договорами</w:t>
              </w:r>
            </w:hyperlink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;</w:t>
            </w:r>
          </w:p>
          <w:p w:rsidR="002D62E3" w:rsidRPr="002D62E3" w:rsidRDefault="002D62E3" w:rsidP="00D422A9">
            <w:pPr>
              <w:numPr>
                <w:ilvl w:val="0"/>
                <w:numId w:val="1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оподаткування 3-го та наступного об’єкта нерухомості проданого за рік (за мінусом витрат);</w:t>
            </w:r>
          </w:p>
          <w:p w:rsidR="002D62E3" w:rsidRPr="002D62E3" w:rsidRDefault="002D62E3" w:rsidP="00D422A9">
            <w:pPr>
              <w:numPr>
                <w:ilvl w:val="0"/>
                <w:numId w:val="1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продаж 3-го та наступного автомобіля за рік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hyperlink r:id="rId8" w:tgtFrame="_blank" w:history="1">
              <w:r w:rsidRPr="00D422A9">
                <w:rPr>
                  <w:rFonts w:ascii="Bookman Old Style" w:eastAsia="Times New Roman" w:hAnsi="Bookman Old Style" w:cs="Times New Roman"/>
                  <w:color w:val="0000FF"/>
                  <w:sz w:val="20"/>
                  <w:szCs w:val="20"/>
                  <w:u w:val="single"/>
                </w:rPr>
                <w:t>дивіденди нерезидентам</w:t>
              </w:r>
            </w:hyperlink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, суб’єктам, які неплатники податку на прибуток, у т.ч.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єдиноподатникам</w:t>
            </w:r>
            <w:proofErr w:type="spellEnd"/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numPr>
                <w:ilvl w:val="0"/>
                <w:numId w:val="2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продаж 2-го об’єкта нерухомості за рік;</w:t>
            </w:r>
          </w:p>
          <w:p w:rsidR="002D62E3" w:rsidRPr="002D62E3" w:rsidRDefault="002D62E3" w:rsidP="00D422A9">
            <w:pPr>
              <w:numPr>
                <w:ilvl w:val="0"/>
                <w:numId w:val="2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продаж 2-го автомобіля за рік;</w:t>
            </w:r>
          </w:p>
          <w:p w:rsidR="002D62E3" w:rsidRPr="002D62E3" w:rsidRDefault="002D62E3" w:rsidP="00D422A9">
            <w:pPr>
              <w:numPr>
                <w:ilvl w:val="0"/>
                <w:numId w:val="2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продаж 1-го об’єкта нерухомості, якщо він був у власності менше 3-х років;</w:t>
            </w:r>
          </w:p>
          <w:p w:rsidR="002D62E3" w:rsidRPr="002D62E3" w:rsidRDefault="002D62E3" w:rsidP="00D422A9">
            <w:pPr>
              <w:numPr>
                <w:ilvl w:val="0"/>
                <w:numId w:val="2"/>
              </w:num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спадщина, подарунки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спадщина від близьких родичів, подарунки від дружини/чоловіка, продаж 1-го об’єкта нерухомості за рік, продаж 1-го автомобіля за рік</w:t>
            </w:r>
          </w:p>
        </w:tc>
      </w:tr>
      <w:tr w:rsidR="002D62E3" w:rsidRPr="002D62E3" w:rsidTr="002D62E3">
        <w:trPr>
          <w:jc w:val="center"/>
        </w:trPr>
        <w:tc>
          <w:tcPr>
            <w:tcW w:w="49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* від осіб, які не входять до 1-го чи 2-го кола споріднення;</w:t>
            </w:r>
          </w:p>
          <w:p w:rsidR="002D62E3" w:rsidRPr="002D62E3" w:rsidRDefault="002D62E3" w:rsidP="00D422A9">
            <w:pPr>
              <w:spacing w:after="0" w:line="240" w:lineRule="auto"/>
              <w:ind w:left="102" w:right="100" w:firstLine="24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2D62E3">
              <w:rPr>
                <w:rFonts w:ascii="Bookman Old Style" w:eastAsia="Times New Roman" w:hAnsi="Bookman Old Style" w:cs="Times New Roman"/>
                <w:sz w:val="20"/>
                <w:szCs w:val="20"/>
              </w:rPr>
              <w:t>** ставка 0% – це означає, що податок на доходи не сплачується, але задекларувати такі доходи потрібно</w:t>
            </w:r>
          </w:p>
        </w:tc>
      </w:tr>
    </w:tbl>
    <w:p w:rsidR="002D62E3" w:rsidRPr="002D62E3" w:rsidRDefault="002D62E3" w:rsidP="00D422A9">
      <w:pPr>
        <w:spacing w:after="0" w:line="360" w:lineRule="auto"/>
        <w:ind w:firstLine="426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hyperlink r:id="rId9" w:tgtFrame="_blank" w:history="1"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 xml:space="preserve">Заробітна плата та аванс </w:t>
        </w:r>
      </w:hyperlink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Помилка в сумі зарплати призводить до сумних наслідків. Якщо виплатите занадто мало або невчасно — покарає трудова інспекція. Не сплатите із зарплати податків — претензії пред’явить податковий інспектор. Тримайте поради із розрахунку зарплати і зарплатного авансу, які враховують вимоги і трудового, і податкового законодавства на 100%</w:t>
      </w:r>
    </w:p>
    <w:p w:rsidR="002D62E3" w:rsidRPr="002D62E3" w:rsidRDefault="002D62E3" w:rsidP="00D422A9">
      <w:pPr>
        <w:spacing w:after="0" w:line="360" w:lineRule="auto"/>
        <w:ind w:firstLine="426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Сплата ПДФО 2024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Порядок нарахування, утримання та </w:t>
      </w:r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>сплата ПДФО 2024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до бюджету містить </w:t>
      </w:r>
      <w:hyperlink r:id="rId10" w:anchor="n3877" w:tgtFrame="_blank" w:history="1"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стаття 168 ПК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1" w:tgtFrame="_blank" w:history="1">
        <w:r w:rsidRP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ПДФО формула для зарплатних доходів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та з загального оподатковуваного доходу без застосування податкової соціальної пільги (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ПСП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) виглядає так:</w:t>
      </w:r>
    </w:p>
    <w:p w:rsidR="002D62E3" w:rsidRPr="002D62E3" w:rsidRDefault="002D62E3" w:rsidP="00D422A9">
      <w:pPr>
        <w:spacing w:after="0" w:line="360" w:lineRule="auto"/>
        <w:ind w:firstLine="426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422A9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>ПДФО = зарплата × 0,18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Наприклад, з мінімальної зарплати січня-березня 2024 року – 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7100 </w:t>
      </w:r>
      <w:proofErr w:type="spellStart"/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грн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softHyphen/>
        <w:t>– податок виходить:</w:t>
      </w:r>
    </w:p>
    <w:p w:rsidR="002D62E3" w:rsidRPr="002D62E3" w:rsidRDefault="002D62E3" w:rsidP="00D422A9">
      <w:pPr>
        <w:spacing w:after="0" w:line="360" w:lineRule="auto"/>
        <w:ind w:firstLine="426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ПДФО = 7100 </w:t>
      </w:r>
      <w:proofErr w:type="spellStart"/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>грн</w:t>
      </w:r>
      <w:proofErr w:type="spellEnd"/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× 0,18 = 1278 </w:t>
      </w:r>
      <w:proofErr w:type="spellStart"/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>грн</w:t>
      </w:r>
      <w:proofErr w:type="spellEnd"/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А ще є й </w:t>
      </w:r>
      <w:hyperlink r:id="rId12" w:history="1">
        <w:r w:rsidRP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військовий збір</w:t>
        </w:r>
      </w:hyperlink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– 1,5%.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13" w:history="1">
        <w:r w:rsidRP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Податки із заробітної плати у 2024 році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зменшують суму до видачі «на руки».</w:t>
      </w:r>
    </w:p>
    <w:p w:rsidR="002D62E3" w:rsidRPr="002D62E3" w:rsidRDefault="002D62E3" w:rsidP="00D422A9">
      <w:pPr>
        <w:spacing w:after="0" w:line="360" w:lineRule="auto"/>
        <w:ind w:firstLine="426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>ПДФО і зміна податкової соціальної пільги 2024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>Розрахунок і сплата ПДФО 2024 із зарплати також передбачає застосування ПСП</w:t>
      </w:r>
      <w:r w:rsidRPr="002D62E3">
        <w:rPr>
          <w:rFonts w:ascii="Bookman Old Style" w:eastAsia="Times New Roman" w:hAnsi="Bookman Old Style" w:cs="Times New Roman"/>
          <w:strike/>
          <w:sz w:val="24"/>
          <w:szCs w:val="24"/>
        </w:rPr>
        <w:t>,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якщо зарплата за місяць знаходиться у межах граничного доходу, який дає таке право. ПСП – це сума, яка зменшує дохід, до якого застосовується ставка податку. Тим сам зменшується й сам ПДФО. Тоді формула розрахунку ПДФО з зарплати приймає вигляд: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22A9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 xml:space="preserve">ПДФО = (зарплата – ПСП) × 0,18 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>Через зростання прожиткового мінімуму 2024, очевидно, що з зросте й згадана у формулі вище</w:t>
      </w:r>
      <w:r w:rsidR="00D422A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14" w:history="1">
        <w:r w:rsidRP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 xml:space="preserve">податкова соціальна </w:t>
        </w:r>
        <w:r w:rsid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 xml:space="preserve">пільга </w:t>
        </w:r>
        <w:r w:rsidRP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2024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>. Здебільшого, ПСП застосовується у випадках малих зарплат, які виходять коли людина працювала на неповну ставку, були простій, відпустка за свій рахунок частину місяця. Також типовою ситуація є застосування ПСП до зарплат одного з батьків, які мають 2-х та більше дітей віком до 18 років, коли граничний розмір доходу, який визначає можливість застосування ПСП, збільшується на коефіцієнт, що рівний кількості дітей.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22A9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>Увага:</w:t>
      </w:r>
      <w:r w:rsidR="00D422A9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 xml:space="preserve"> 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ПСП традиці</w:t>
      </w:r>
      <w:r w:rsidR="00D422A9">
        <w:rPr>
          <w:rFonts w:ascii="Bookman Old Style" w:eastAsia="Times New Roman" w:hAnsi="Bookman Old Style" w:cs="Times New Roman"/>
          <w:sz w:val="24"/>
          <w:szCs w:val="24"/>
        </w:rPr>
        <w:t xml:space="preserve">йно збільшиться через зростання прожиткового мінімуму 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на 01 січня.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Це означає, що на ПСП 2024, а отже й ПДФО 2024, впливає </w:t>
      </w:r>
      <w:hyperlink r:id="rId15" w:history="1"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прожитковий мінімум 2024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, що й показує </w:t>
      </w:r>
      <w:r w:rsidRPr="002D62E3">
        <w:rPr>
          <w:rFonts w:ascii="Bookman Old Style" w:eastAsia="Times New Roman" w:hAnsi="Bookman Old Style" w:cs="Times New Roman"/>
          <w:i/>
          <w:iCs/>
          <w:sz w:val="24"/>
          <w:szCs w:val="24"/>
        </w:rPr>
        <w:t>таблиця нижче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2"/>
        <w:gridCol w:w="2196"/>
        <w:gridCol w:w="2045"/>
        <w:gridCol w:w="2512"/>
      </w:tblGrid>
      <w:tr w:rsidR="002D62E3" w:rsidRPr="002D62E3" w:rsidTr="002D62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ПОДАТКОВА СОЦІАЛЬНА ПІЛЬГА (ПСП)</w:t>
            </w:r>
          </w:p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при оподаткуванні зарплати у 2024 році</w:t>
            </w:r>
          </w:p>
        </w:tc>
      </w:tr>
      <w:tr w:rsidR="002D62E3" w:rsidRPr="002D62E3" w:rsidTr="002D62E3">
        <w:trPr>
          <w:jc w:val="center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D422A9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Ліміт зарплати </w:t>
            </w:r>
            <w:r w:rsidR="002D62E3"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на ПСП</w:t>
            </w:r>
          </w:p>
        </w:tc>
        <w:tc>
          <w:tcPr>
            <w:tcW w:w="6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розмір ПСП</w:t>
            </w:r>
          </w:p>
        </w:tc>
      </w:tr>
      <w:tr w:rsidR="002D62E3" w:rsidRPr="002D62E3" w:rsidTr="002D62E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базова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150%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подвійна</w:t>
            </w:r>
          </w:p>
        </w:tc>
      </w:tr>
      <w:tr w:rsidR="002D62E3" w:rsidRPr="002D62E3" w:rsidTr="002D62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2024 рік</w:t>
            </w:r>
          </w:p>
        </w:tc>
      </w:tr>
      <w:tr w:rsidR="002D62E3" w:rsidRPr="002D62E3" w:rsidTr="002D62E3">
        <w:trPr>
          <w:jc w:val="center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3760 </w:t>
            </w:r>
            <w:proofErr w:type="spellStart"/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</w:r>
            <w:r w:rsidRPr="002D62E3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(=3028,00 × 1,4≈4239,2*)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1514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(=</w:t>
            </w:r>
            <w:r w:rsidRPr="002D62E3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3028×0,5</w:t>
            </w: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2271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3028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D62E3" w:rsidRPr="002D62E3" w:rsidTr="002D62E3">
        <w:trPr>
          <w:jc w:val="center"/>
        </w:trPr>
        <w:tc>
          <w:tcPr>
            <w:tcW w:w="48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2023 рік </w:t>
            </w:r>
            <w:r w:rsidRPr="002D62E3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довідково</w:t>
            </w:r>
            <w:proofErr w:type="spellEnd"/>
            <w:r w:rsidRPr="002D62E3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62E3" w:rsidRPr="002D62E3" w:rsidTr="002D62E3">
        <w:trPr>
          <w:jc w:val="center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3760 </w:t>
            </w:r>
            <w:proofErr w:type="spellStart"/>
            <w:r w:rsidRPr="00D422A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</w:r>
            <w:r w:rsidRPr="002D62E3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(=2684×1,4 ≈3760**)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1342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2013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2684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2D62E3" w:rsidRPr="002D62E3" w:rsidTr="002D62E3">
        <w:trPr>
          <w:jc w:val="center"/>
        </w:trPr>
        <w:tc>
          <w:tcPr>
            <w:tcW w:w="9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*в основу розрахунку покладений очікуваний на 1 січня 2024 року прожитковий мінімум працездатної особи 3028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(дані з </w:t>
            </w:r>
            <w:hyperlink r:id="rId16" w:tgtFrame="_blank" w:history="1">
              <w:r w:rsidRPr="00D422A9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</w:rPr>
                <w:t>Закону про Держбюджет 2024</w:t>
              </w:r>
            </w:hyperlink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);</w:t>
            </w:r>
          </w:p>
          <w:p w:rsidR="002D62E3" w:rsidRPr="002D62E3" w:rsidRDefault="002D62E3" w:rsidP="00D422A9">
            <w:pPr>
              <w:spacing w:after="0" w:line="240" w:lineRule="auto"/>
              <w:ind w:firstLine="4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** округлення здійснюється до найближчих 10 </w:t>
            </w:r>
            <w:proofErr w:type="spellStart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грн</w:t>
            </w:r>
            <w:proofErr w:type="spellEnd"/>
            <w:r w:rsidRPr="002D62E3">
              <w:rPr>
                <w:rFonts w:ascii="Bookman Old Style" w:eastAsia="Times New Roman" w:hAnsi="Bookman Old Style" w:cs="Times New Roman"/>
                <w:sz w:val="24"/>
                <w:szCs w:val="24"/>
              </w:rPr>
              <w:t>, а не звичайним арифметичним правилом</w:t>
            </w:r>
          </w:p>
        </w:tc>
      </w:tr>
    </w:tbl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Наприклад, ПДФО з зарплати 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4000 </w:t>
      </w:r>
      <w:proofErr w:type="spellStart"/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грн</w:t>
      </w:r>
      <w:proofErr w:type="spellEnd"/>
      <w:r w:rsidR="00D422A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>виходить: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ПДФО = (4000 –1514) × 0,18 = 447,48 </w:t>
      </w:r>
      <w:proofErr w:type="spellStart"/>
      <w:r w:rsidRPr="00D422A9">
        <w:rPr>
          <w:rFonts w:ascii="Bookman Old Style" w:eastAsia="Times New Roman" w:hAnsi="Bookman Old Style" w:cs="Times New Roman"/>
          <w:b/>
          <w:bCs/>
          <w:sz w:val="24"/>
          <w:szCs w:val="24"/>
        </w:rPr>
        <w:t>грн</w:t>
      </w:r>
      <w:proofErr w:type="spellEnd"/>
    </w:p>
    <w:p w:rsidR="002D62E3" w:rsidRPr="002D62E3" w:rsidRDefault="002D62E3" w:rsidP="00D422A9">
      <w:pPr>
        <w:spacing w:after="0" w:line="360" w:lineRule="auto"/>
        <w:ind w:firstLine="426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Звітність із ПДФО 2024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>Звітність із ПДФО 2024 – це дві декларації:</w:t>
      </w:r>
    </w:p>
    <w:p w:rsidR="002D62E3" w:rsidRPr="002D62E3" w:rsidRDefault="002D62E3" w:rsidP="00D422A9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7" w:history="1"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 xml:space="preserve">Податковий розрахунок сум доходу, нарахованого (сплаченого) на користь платників податків – фізичних осіб, і сум утриманого з них податку, </w:t>
        </w:r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lastRenderedPageBreak/>
          <w:t>а також сум нарахованого єдиного внеску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(або просто 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Податковий розрахунок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, а також 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Зарплатний звіт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Об’єднаний звіт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Звіт з ЄСВ, ПДФО/ВЗ та ВЗ</w:t>
      </w: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– як ще називають таку декларацію). Даний звіт подають роботодавці та інші суб’єкти господарювання, які нараховують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фізособам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зарплатні доходи, виплати за цивільно-правовими договорами тощо з метою декларування утриманого та сплаченого з таких доходів до бюджету ПДФО, ВЗ та єдиного соціального внеску (ЄСВ);</w:t>
      </w:r>
    </w:p>
    <w:p w:rsidR="002D62E3" w:rsidRPr="002D62E3" w:rsidRDefault="002D62E3" w:rsidP="00D422A9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8" w:history="1">
        <w:r w:rsidRPr="00D422A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Податкова декларація про майновий стан і доходи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. Таку декларацію подають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фізособи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самостійно, якщо є підстави, наприклад з метою отримання податкової пільги або декларування доходу, по якому податкові агенти не сплатити ПДФО/ВЗ. Також цю декларацію подають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фізособи-підприємці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загальної системи оподаткування, у т.ч. й з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з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метою декларування ЄСВ «за себе».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Серед змін у сфері декларування ПДФО у 2024 році можливим є перехід від квартального Податкового розрахунку на щомісячний або розділення цього звіту знову на два </w:t>
      </w:r>
      <w:r w:rsidR="00D422A9">
        <w:rPr>
          <w:rFonts w:ascii="Bookman Old Style" w:eastAsia="Times New Roman" w:hAnsi="Bookman Old Style" w:cs="Times New Roman"/>
          <w:sz w:val="24"/>
          <w:szCs w:val="24"/>
        </w:rPr>
        <w:t>– звіт з ЄСВ і звіт з ПДФО/ВЗ.</w:t>
      </w:r>
    </w:p>
    <w:p w:rsidR="002D62E3" w:rsidRPr="002D62E3" w:rsidRDefault="002D62E3" w:rsidP="00D422A9">
      <w:pPr>
        <w:spacing w:after="0" w:line="360" w:lineRule="auto"/>
        <w:ind w:firstLine="426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Оподаткування </w:t>
      </w:r>
      <w:proofErr w:type="spellStart"/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>криптовалют</w:t>
      </w:r>
      <w:proofErr w:type="spellEnd"/>
      <w:r w:rsidRPr="002D62E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ПДФО</w:t>
      </w:r>
    </w:p>
    <w:p w:rsidR="002D62E3" w:rsidRPr="002D62E3" w:rsidRDefault="002D62E3" w:rsidP="00D422A9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Насьогодні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є прийнятий</w:t>
      </w:r>
      <w:r w:rsidR="00D422A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19" w:anchor="Text" w:tgtFrame="_blank" w:history="1">
        <w:r w:rsidRPr="00D422A9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Закон «Про віртуальні активи» від 17.02.2022 № 2074-IX</w:t>
        </w:r>
      </w:hyperlink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, який запрацює лише після прийняття змін до ПК, що створять оподаткування віртуальних активів, зокрема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криптовалют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(п. 1 розділу VI Прикінцевих і перехідних положень цього закону). Наразі є лише роз’яснення від ДПС у 103.02 щодо оподаткування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криптовалют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>. За ним:</w:t>
      </w:r>
    </w:p>
    <w:p w:rsidR="002D62E3" w:rsidRPr="002D62E3" w:rsidRDefault="002D62E3" w:rsidP="00D422A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вся виручка від продажу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криптовалюти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 xml:space="preserve"> – оподатковуваний дохід </w:t>
      </w:r>
      <w:proofErr w:type="spellStart"/>
      <w:r w:rsidRPr="002D62E3">
        <w:rPr>
          <w:rFonts w:ascii="Bookman Old Style" w:eastAsia="Times New Roman" w:hAnsi="Bookman Old Style" w:cs="Times New Roman"/>
          <w:sz w:val="24"/>
          <w:szCs w:val="24"/>
        </w:rPr>
        <w:t>фізособи</w:t>
      </w:r>
      <w:proofErr w:type="spellEnd"/>
      <w:r w:rsidRPr="002D62E3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2D62E3" w:rsidRPr="002D62E3" w:rsidRDefault="002D62E3" w:rsidP="00D422A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62E3">
        <w:rPr>
          <w:rFonts w:ascii="Bookman Old Style" w:eastAsia="Times New Roman" w:hAnsi="Bookman Old Style" w:cs="Times New Roman"/>
          <w:sz w:val="24"/>
          <w:szCs w:val="24"/>
        </w:rPr>
        <w:t>ставка ПДФО – 18% та військовий збір – 1,5%.</w:t>
      </w:r>
    </w:p>
    <w:sectPr w:rsidR="002D62E3" w:rsidRPr="002D6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A41"/>
    <w:multiLevelType w:val="multilevel"/>
    <w:tmpl w:val="9406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21245"/>
    <w:multiLevelType w:val="multilevel"/>
    <w:tmpl w:val="207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D2CDD"/>
    <w:multiLevelType w:val="multilevel"/>
    <w:tmpl w:val="8EA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36847"/>
    <w:multiLevelType w:val="multilevel"/>
    <w:tmpl w:val="699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464E78"/>
    <w:multiLevelType w:val="multilevel"/>
    <w:tmpl w:val="2CF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2D62E3"/>
    <w:rsid w:val="002D62E3"/>
    <w:rsid w:val="00A32797"/>
    <w:rsid w:val="00D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6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6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dden-xs">
    <w:name w:val="hidden-xs"/>
    <w:basedOn w:val="a0"/>
    <w:rsid w:val="002D62E3"/>
  </w:style>
  <w:style w:type="character" w:styleId="a3">
    <w:name w:val="Hyperlink"/>
    <w:basedOn w:val="a0"/>
    <w:uiPriority w:val="99"/>
    <w:semiHidden/>
    <w:unhideWhenUsed/>
    <w:rsid w:val="002D62E3"/>
    <w:rPr>
      <w:color w:val="0000FF"/>
      <w:u w:val="single"/>
    </w:rPr>
  </w:style>
  <w:style w:type="character" w:customStyle="1" w:styleId="linktofileinfo">
    <w:name w:val="linktofile__info"/>
    <w:basedOn w:val="a0"/>
    <w:rsid w:val="002D62E3"/>
  </w:style>
  <w:style w:type="paragraph" w:styleId="a4">
    <w:name w:val="Normal (Web)"/>
    <w:basedOn w:val="a"/>
    <w:uiPriority w:val="99"/>
    <w:unhideWhenUsed/>
    <w:rsid w:val="002D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62E3"/>
    <w:rPr>
      <w:b/>
      <w:bCs/>
    </w:rPr>
  </w:style>
  <w:style w:type="paragraph" w:customStyle="1" w:styleId="redblockwithlogotext">
    <w:name w:val="redblockwithlogo__text"/>
    <w:basedOn w:val="a"/>
    <w:rsid w:val="002D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expertus.com.ua/recommendations/4318?utm_medium=referral&amp;utm_source=buhplatforma.com.ua&amp;utm_term=9210&amp;utm_content=article&amp;utm_campaign=red_block_content_link" TargetMode="External"/><Relationship Id="rId13" Type="http://schemas.openxmlformats.org/officeDocument/2006/relationships/hyperlink" Target="/article/7612-podatki-z-zarplati" TargetMode="External"/><Relationship Id="rId18" Type="http://schemas.openxmlformats.org/officeDocument/2006/relationships/hyperlink" Target="/article/7306-deklaratsya-pro-maynoviy-stan-dohodi?tokenCoock=no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/article/7715-tsivlno-pravoviy-dogovr-2019" TargetMode="External"/><Relationship Id="rId12" Type="http://schemas.openxmlformats.org/officeDocument/2006/relationships/hyperlink" Target="/article/7401-vyskoviy-zbr" TargetMode="External"/><Relationship Id="rId17" Type="http://schemas.openxmlformats.org/officeDocument/2006/relationships/hyperlink" Target="/article/8607-obdnannya-sv-ta-pdfo-dina-zvtnst-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460-I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article/7257-narahuvannya-zarobtno-plati" TargetMode="External"/><Relationship Id="rId11" Type="http://schemas.openxmlformats.org/officeDocument/2006/relationships/hyperlink" Target="https://gb.expertus.com.ua/recommendations/5321?utm_medium=referral&amp;utm_source=buhplatforma.com.ua&amp;utm_term=9210&amp;utm_content=article&amp;utm_campaign=red_block_content_link" TargetMode="External"/><Relationship Id="rId5" Type="http://schemas.openxmlformats.org/officeDocument/2006/relationships/hyperlink" Target="https://zakon.rada.gov.ua/laws/show/2755-17/ed20230903" TargetMode="External"/><Relationship Id="rId15" Type="http://schemas.openxmlformats.org/officeDocument/2006/relationships/hyperlink" Target="/article/16404-prozhitkoviy-minimum-u-2024-rotsi" TargetMode="External"/><Relationship Id="rId10" Type="http://schemas.openxmlformats.org/officeDocument/2006/relationships/hyperlink" Target="https://zakon.rada.gov.ua/laws/show/2755-17/ed20230903" TargetMode="External"/><Relationship Id="rId19" Type="http://schemas.openxmlformats.org/officeDocument/2006/relationships/hyperlink" Target="https://zakon.rada.gov.ua/laws/show/2074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expertus.com.ua/recommendations/4269?utm_medium=referral&amp;utm_source=buhplatforma.com.ua&amp;utm_term=9210&amp;utm_content=article&amp;utm_campaign=red_block_content_vrezka_logoframe" TargetMode="External"/><Relationship Id="rId14" Type="http://schemas.openxmlformats.org/officeDocument/2006/relationships/hyperlink" Target="/article/7851-podatkova-sotsalna-plga-na-2020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2024-03-13T12:41:00Z</dcterms:created>
  <dcterms:modified xsi:type="dcterms:W3CDTF">2024-03-13T14:47:00Z</dcterms:modified>
</cp:coreProperties>
</file>