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Перехід </w:t>
      </w:r>
      <w:proofErr w:type="spellStart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на загальну систему оподаткування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Перевага загальної системи у порівнянні зі спрощеною –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податки сплачуються не з доходу, а з прибутку. Прибуток (чистий оподатковуваний дохід) </w:t>
      </w:r>
      <w:proofErr w:type="spellStart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– це його доходи, які зменшені на дозволені витрати. 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У разі наявності у підприємця значних витрат вигіднішою стає саме загальна система, а не спрощена (</w:t>
      </w:r>
      <w:hyperlink r:id="rId5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єдиний податок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>). На 3-й групі ЄП, нагадуємо, податок сплачується з обсягу доходу.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Також загальна система єдино можлива у випадках, коли у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є: </w:t>
      </w:r>
    </w:p>
    <w:p w:rsidR="00833D3F" w:rsidRPr="00960792" w:rsidRDefault="00833D3F" w:rsidP="0096079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заборонені для спрощеної системи види діяльності, наприклад діяльність у сфері аудиту, технічних досліджень, організація та проведення гастрольних заходів, брокерська діяльність (</w:t>
      </w:r>
      <w:r w:rsidRPr="00960792">
        <w:rPr>
          <w:rFonts w:ascii="Bookman Old Style" w:eastAsia="Times New Roman" w:hAnsi="Bookman Old Style" w:cs="Times New Roman"/>
          <w:i/>
          <w:iCs/>
          <w:sz w:val="24"/>
          <w:szCs w:val="24"/>
        </w:rPr>
        <w:t>див.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 xml:space="preserve"> п.291.5 ПК);</w:t>
      </w:r>
    </w:p>
    <w:p w:rsidR="00833D3F" w:rsidRPr="00960792" w:rsidRDefault="00833D3F" w:rsidP="0096079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потреба у заборонених для ЄП способах розрахунків, наприклад бартер та інші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негрошові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розрахунки;</w:t>
      </w:r>
    </w:p>
    <w:p w:rsidR="00833D3F" w:rsidRPr="00960792" w:rsidRDefault="00833D3F" w:rsidP="0096079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перевищує </w:t>
      </w:r>
      <w:hyperlink r:id="rId6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дозволений ліміт виручки (доходу)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, який дозволений для 3 групи єдиного податку. Для 2023 року це 7.818.900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грн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(=1167 мінімальних зарплат на 01.01).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Податки на загальній системі оподаткування для </w:t>
      </w:r>
      <w:proofErr w:type="spellStart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у 2024 році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Які податки на загальній системі оподаткування сплачує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у 2024 році?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сплачує такі податк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>и, збори та обов’язкові внески:</w:t>
      </w:r>
    </w:p>
    <w:p w:rsidR="00833D3F" w:rsidRPr="00960792" w:rsidRDefault="00313D11" w:rsidP="0096079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hyperlink r:id="rId7" w:tgtFrame="_blank" w:history="1">
        <w:r w:rsidR="00833D3F"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податок на доходи фізичних осіб</w:t>
        </w:r>
      </w:hyperlink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(ПДФО) – 18%;</w:t>
      </w:r>
    </w:p>
    <w:p w:rsidR="00833D3F" w:rsidRPr="00960792" w:rsidRDefault="00833D3F" w:rsidP="0096079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військовий збір (ВЗ) – 1,5%;</w:t>
      </w:r>
    </w:p>
    <w:p w:rsidR="00833D3F" w:rsidRPr="00960792" w:rsidRDefault="00833D3F" w:rsidP="0096079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єдиний соціальний внесок (ЄСВ) – 22%.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Сплачуються ці податки і збори з однієї бази – отриманого чистого оподатковуваного доходу (прибутку), тобто за формулами: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833D3F" w:rsidRPr="00960792" w:rsidTr="00833D3F">
        <w:tc>
          <w:tcPr>
            <w:tcW w:w="5000" w:type="pct"/>
            <w:vAlign w:val="center"/>
            <w:hideMark/>
          </w:tcPr>
          <w:p w:rsidR="00833D3F" w:rsidRPr="00960792" w:rsidRDefault="00833D3F" w:rsidP="0096079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6079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Чистий </w:t>
            </w:r>
            <w:proofErr w:type="spellStart"/>
            <w:r w:rsidRPr="0096079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оподаткуваний</w:t>
            </w:r>
            <w:proofErr w:type="spellEnd"/>
            <w:r w:rsidRPr="0096079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дохід </w:t>
            </w:r>
            <w:proofErr w:type="spellStart"/>
            <w:r w:rsidRPr="0096079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ФОП</w:t>
            </w:r>
            <w:proofErr w:type="spellEnd"/>
            <w:r w:rsidRPr="0096079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(прибуток) = Доходи </w:t>
            </w:r>
            <w:proofErr w:type="spellStart"/>
            <w:r w:rsidRPr="0096079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ФОП</w:t>
            </w:r>
            <w:proofErr w:type="spellEnd"/>
            <w:r w:rsidRPr="0096079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– Витрати </w:t>
            </w:r>
            <w:proofErr w:type="spellStart"/>
            <w:r w:rsidRPr="0096079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ФОП</w:t>
            </w:r>
            <w:proofErr w:type="spellEnd"/>
          </w:p>
        </w:tc>
      </w:tr>
    </w:tbl>
    <w:p w:rsidR="00833D3F" w:rsidRPr="00960792" w:rsidRDefault="00833D3F" w:rsidP="00960792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vanish/>
          <w:sz w:val="24"/>
          <w:szCs w:val="24"/>
        </w:rPr>
      </w:pPr>
    </w:p>
    <w:tbl>
      <w:tblPr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9"/>
      </w:tblGrid>
      <w:tr w:rsidR="00833D3F" w:rsidRPr="00960792" w:rsidTr="00833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D3F" w:rsidRPr="00960792" w:rsidRDefault="00833D3F" w:rsidP="00960792">
            <w:pPr>
              <w:spacing w:before="100" w:beforeAutospacing="1" w:after="100" w:afterAutospacing="1" w:line="240" w:lineRule="auto"/>
              <w:ind w:firstLine="284"/>
              <w:jc w:val="both"/>
              <w:divId w:val="7910923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60792">
              <w:rPr>
                <w:rFonts w:ascii="Bookman Old Style" w:eastAsia="Times New Roman" w:hAnsi="Bookman Old Style" w:cs="Times New Roman"/>
                <w:sz w:val="24"/>
                <w:szCs w:val="24"/>
              </w:rPr>
              <w:t>ПДФО = ЧОД×0,18 </w:t>
            </w:r>
          </w:p>
        </w:tc>
      </w:tr>
      <w:tr w:rsidR="00833D3F" w:rsidRPr="00960792" w:rsidTr="00833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D3F" w:rsidRPr="00960792" w:rsidRDefault="00833D3F" w:rsidP="0096079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60792">
              <w:rPr>
                <w:rFonts w:ascii="Bookman Old Style" w:eastAsia="Times New Roman" w:hAnsi="Bookman Old Style" w:cs="Times New Roman"/>
                <w:sz w:val="24"/>
                <w:szCs w:val="24"/>
              </w:rPr>
              <w:t>ВЗ = ЧОД×0,015 </w:t>
            </w:r>
          </w:p>
        </w:tc>
      </w:tr>
      <w:tr w:rsidR="00833D3F" w:rsidRPr="00960792" w:rsidTr="00833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D3F" w:rsidRPr="00960792" w:rsidRDefault="00833D3F" w:rsidP="0096079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60792">
              <w:rPr>
                <w:rFonts w:ascii="Bookman Old Style" w:eastAsia="Times New Roman" w:hAnsi="Bookman Old Style" w:cs="Times New Roman"/>
                <w:sz w:val="24"/>
                <w:szCs w:val="24"/>
              </w:rPr>
              <w:t>ЄСВ = ЧОД×0,22 </w:t>
            </w:r>
          </w:p>
        </w:tc>
      </w:tr>
    </w:tbl>
    <w:p w:rsid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У 2024 році порядок розрахунку та сплати ПДФО, ВЗ для </w:t>
      </w:r>
      <w:proofErr w:type="spellStart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практично не змінюється,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окрім складу витрат, що впливає н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>а чистий оподатковуваний дохід.</w:t>
      </w:r>
    </w:p>
    <w:p w:rsidR="00833D3F" w:rsidRPr="00960792" w:rsidRDefault="00313D11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21" style="width:24pt;height:24pt"/>
        </w:pict>
      </w:r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Крім того, </w:t>
      </w:r>
      <w:proofErr w:type="spellStart"/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може ще й сплачувати такі податки: </w:t>
      </w:r>
    </w:p>
    <w:p w:rsidR="00833D3F" w:rsidRPr="00960792" w:rsidRDefault="00833D3F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ПДВ,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якщо зареєструється добровільно платником ПДВ або в обов’язковому порядку, коли обсяг доходу за останні 12 місяців сукупно перевищить 1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млн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грн. Це зобов’язує ще й подавати </w:t>
      </w:r>
      <w:hyperlink r:id="rId8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Податкову декларацію з ПДВ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й складати та реєструвати податкові накладні;</w:t>
      </w:r>
    </w:p>
    <w:p w:rsidR="00833D3F" w:rsidRPr="00960792" w:rsidRDefault="00833D3F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ПДФО, ВЗ та ЄСВ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 по найманим працівникам, якщо такі є; </w:t>
      </w:r>
    </w:p>
    <w:p w:rsidR="00833D3F" w:rsidRPr="00960792" w:rsidRDefault="00833D3F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податок на доходи нерезидентів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 (так званий </w:t>
      </w:r>
      <w:hyperlink r:id="rId9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податок на репатріацію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) – 15 % (менший, якщо є угода про уникнення подвійного 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оподаткування між країнами). Цей податок сплачується, якщо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виплачує доходи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юрособі-нерезиденту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. Податок утримується з такого виплаченого доходу. Цікавим є те, що для нього 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 подається </w:t>
      </w:r>
      <w:hyperlink r:id="rId10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податкова декларація з податку на прибуток підприємств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> з </w:t>
      </w:r>
      <w:hyperlink r:id="rId11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Додатком ПН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, яку подають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юрособи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. Робиться це за підсумками звітного року (пп. 133.1.4 ПК, пп. «г» п. 137.5 ПК); </w:t>
      </w:r>
    </w:p>
    <w:p w:rsidR="00833D3F" w:rsidRPr="00960792" w:rsidRDefault="00833D3F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транспортний податок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; </w:t>
      </w:r>
    </w:p>
    <w:p w:rsidR="00833D3F" w:rsidRPr="00960792" w:rsidRDefault="00833D3F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акцизний податок; </w:t>
      </w:r>
    </w:p>
    <w:p w:rsidR="00833D3F" w:rsidRPr="00960792" w:rsidRDefault="00833D3F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плата за землю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, у т.ч. </w:t>
      </w:r>
      <w:hyperlink r:id="rId12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земельний податок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833D3F" w:rsidRPr="00960792" w:rsidRDefault="00313D11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hyperlink r:id="rId13" w:tgtFrame="_blank" w:history="1">
        <w:r w:rsidR="00833D3F" w:rsidRPr="00960792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податок на нерухомість</w:t>
        </w:r>
      </w:hyperlink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> (податок на нерухоме майно, відмінне від земельної ділянки); </w:t>
      </w:r>
    </w:p>
    <w:p w:rsidR="00833D3F" w:rsidRPr="00960792" w:rsidRDefault="00313D11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hyperlink r:id="rId14" w:tgtFrame="_blank" w:history="1">
        <w:r w:rsidR="00833D3F" w:rsidRPr="00960792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екологічний податок</w:t>
        </w:r>
      </w:hyperlink>
      <w:r w:rsidR="00833D3F"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; </w:t>
      </w:r>
    </w:p>
    <w:p w:rsidR="00833D3F" w:rsidRPr="00960792" w:rsidRDefault="00313D11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hyperlink r:id="rId15" w:tgtFrame="_blank" w:history="1">
        <w:r w:rsidR="00833D3F" w:rsidRPr="00960792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рентна плата</w:t>
        </w:r>
      </w:hyperlink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>; </w:t>
      </w:r>
    </w:p>
    <w:p w:rsidR="00833D3F" w:rsidRPr="00960792" w:rsidRDefault="00833D3F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мито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, якщо здійснює операції імпорту-експорту; </w:t>
      </w:r>
    </w:p>
    <w:p w:rsidR="00833D3F" w:rsidRPr="00960792" w:rsidRDefault="00833D3F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збір за паркування; </w:t>
      </w:r>
    </w:p>
    <w:p w:rsidR="00833D3F" w:rsidRPr="00960792" w:rsidRDefault="00313D11" w:rsidP="0096079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hyperlink r:id="rId16" w:tgtFrame="_blank" w:history="1">
        <w:r w:rsidR="00833D3F" w:rsidRPr="00960792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туристичний збір</w:t>
        </w:r>
      </w:hyperlink>
      <w:r w:rsidR="00833D3F"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. 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Податкова звітність на загальній системі 2024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на загальній системі подає:</w:t>
      </w:r>
    </w:p>
    <w:p w:rsidR="00833D3F" w:rsidRPr="00960792" w:rsidRDefault="00833D3F" w:rsidP="0096079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«за себе»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– </w:t>
      </w:r>
      <w:hyperlink r:id="rId17" w:history="1">
        <w:r w:rsidRPr="00960792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Податкову декларацію про майновий стан і доходи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. Вона містить дані про ПДФО і ЄСВ «за себе». Подається раз на рік. Її форма містить Додаток ЄСВ 1. Згідно з п.п.49.18.4, податкову декларацію потрібно подати за 2023 рік до 01.05.2024. Також з 2022 року, тим загальникам, які володіють або користуються сільськогосподарськими угіддями треба ще й розрахувати мінімальне податкове зобов’язання (МПЗ), тому у декларації з’явився новий Додаток МПЗ. А відповідно до </w:t>
      </w:r>
      <w:hyperlink r:id="rId18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Наказу Мінфіну від 28.08.2023 № 467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>, що набере чинності 30.12.0223, у декларації ця сума відображається у рядку «20.3»;</w:t>
      </w:r>
    </w:p>
    <w:p w:rsidR="00833D3F" w:rsidRPr="00960792" w:rsidRDefault="00833D3F" w:rsidP="0096079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по найманим працівникам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– </w:t>
      </w:r>
      <w:hyperlink r:id="rId19" w:history="1">
        <w:r w:rsidRPr="00960792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Податковий розрахунок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r w:rsidRPr="00960792">
        <w:rPr>
          <w:rFonts w:ascii="Bookman Old Style" w:eastAsia="Times New Roman" w:hAnsi="Bookman Old Style" w:cs="Times New Roman"/>
          <w:i/>
          <w:iCs/>
          <w:sz w:val="24"/>
          <w:szCs w:val="24"/>
        </w:rPr>
        <w:t>він же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–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об’єднана звітність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зарплатний звіт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). Подається щокварталу протягом 40 календарних днів після закінчення звітного кварталу.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Облік </w:t>
      </w:r>
      <w:proofErr w:type="spellStart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на загальній системі оподаткування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Облік у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ФОП-загальника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у 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>2024 році має такі особливості:</w:t>
      </w:r>
    </w:p>
    <w:p w:rsidR="00833D3F" w:rsidRPr="00960792" w:rsidRDefault="00833D3F" w:rsidP="0096079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облік ведуть у спеціальній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Книзі обліку доходів і витрат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833D3F" w:rsidRPr="00960792" w:rsidRDefault="00833D3F" w:rsidP="0096079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дата виникнення доходу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– за надходженням грошей/іншої компенсації. Тобто датою визнання доходу у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є дата фактичного надходження компенсації (грошей, товарів за бартером)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 за відвантажені товари, виконані роботи (надані послуги). Це значить, що на дату підписання накладних або </w:t>
      </w:r>
      <w:hyperlink r:id="rId20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актів приймання-передачі виконаних робіт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доходу у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>ОП</w:t>
      </w:r>
      <w:proofErr w:type="spellEnd"/>
      <w:r w:rsidR="00960792">
        <w:rPr>
          <w:rFonts w:ascii="Bookman Old Style" w:eastAsia="Times New Roman" w:hAnsi="Bookman Old Style" w:cs="Times New Roman"/>
          <w:sz w:val="24"/>
          <w:szCs w:val="24"/>
        </w:rPr>
        <w:t xml:space="preserve"> немає – поки не буде оплати;</w:t>
      </w:r>
    </w:p>
    <w:p w:rsidR="00833D3F" w:rsidRPr="00960792" w:rsidRDefault="00833D3F" w:rsidP="0096079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визнання витрат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потребує одночасного вик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 xml:space="preserve">онання 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чотирьох умов: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документальне підтвердження + сплата + зв’язок з отриманням доходу + наявність у переліку дозволених витрат у </w:t>
      </w:r>
      <w:hyperlink r:id="rId21" w:anchor="Text" w:tgtFrame="_blank" w:history="1">
        <w:r w:rsidRPr="00960792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п. 177.4 ПК</w:t>
        </w:r>
      </w:hyperlink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.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Тільки при дотриманні всіх цих вимог разом витрати можна визнати (!). У порівнянні з 2023 роком, склад таких витрат не змінився;</w:t>
      </w:r>
    </w:p>
    <w:p w:rsidR="00833D3F" w:rsidRPr="00960792" w:rsidRDefault="00960792" w:rsidP="0096079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НЕ </w:t>
      </w:r>
      <w:r w:rsidR="00833D3F"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визнаються витратами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поточний ремонт чи поліпшення </w:t>
      </w:r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>основних засобів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833D3F"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подвійного призначення</w:t>
      </w:r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>, по яким амортизація заборонена, наприклад легкових автомобілів</w:t>
      </w:r>
      <w:r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833D3F" w:rsidRPr="00960792" w:rsidRDefault="00833D3F" w:rsidP="0096079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lastRenderedPageBreak/>
        <w:t>НЕ визнаються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витратами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сплачені акцизний податок, податок на нерухомість у частині житлової нерухомості, сплачений ПДВ (у платників ПДВ), а також ПДФО та ВЗ «за себе» (пп. 177.4.3 ПК). Щодо ПДФО та військового збору з найманих працівників, то вони потрапляють до витрат у складі їх заробітної плати; </w:t>
      </w:r>
    </w:p>
    <w:p w:rsidR="00833D3F" w:rsidRPr="00960792" w:rsidRDefault="00833D3F" w:rsidP="0096079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до витрат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ФОП-загальника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включається 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ЄСВ «за себе»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, який він сплачує щокварталу, –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за фактом сплати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 (роз’яснення ДПС 104.05 ЗІР). Також до витрат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потрапляє ЄСВ, який нараховується на зарплату найманих працівників;</w:t>
      </w:r>
    </w:p>
    <w:p w:rsidR="00833D3F" w:rsidRPr="00960792" w:rsidRDefault="00833D3F" w:rsidP="0096079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до складу витрат також всі види 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податків на майно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, окрім податку на нерухомість, якщо вона житлова. Виходить, що можна включати податок на нерухомість з нежитлової нерухомості, плату за землю (земельний податок). Щодо цього – </w:t>
      </w:r>
      <w:r w:rsidRPr="00960792">
        <w:rPr>
          <w:rFonts w:ascii="Bookman Old Style" w:eastAsia="Times New Roman" w:hAnsi="Bookman Old Style" w:cs="Times New Roman"/>
          <w:i/>
          <w:iCs/>
          <w:sz w:val="24"/>
          <w:szCs w:val="24"/>
        </w:rPr>
        <w:t>див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. пп. 177.4.3 ПК.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color w:val="800000"/>
          <w:sz w:val="24"/>
          <w:szCs w:val="24"/>
        </w:rPr>
        <w:t>Увага:</w:t>
      </w:r>
      <w:r w:rsidRPr="00960792">
        <w:rPr>
          <w:rFonts w:ascii="Bookman Old Style" w:eastAsia="Times New Roman" w:hAnsi="Bookman Old Style" w:cs="Times New Roman"/>
          <w:color w:val="800000"/>
          <w:sz w:val="24"/>
          <w:szCs w:val="24"/>
        </w:rPr>
        <w:t> 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податок на майно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може включати до витрат, окрім податку з житлової нерухомості.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Щодо 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транспортного податку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– він теж належить до податку на майно, але сплачується з дорогих легкових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автівок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, які вряд чи можна пов’язати з господарською діяльністю. Тому його не можна включати до витрат через відсутність зв’язку з господарською діяльністю.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Приклади застосування цих правил обліку доходів і витрат: </w:t>
      </w:r>
    </w:p>
    <w:p w:rsidR="00833D3F" w:rsidRPr="00960792" w:rsidRDefault="00833D3F" w:rsidP="0096079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у грудні 2023 року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отримав аванс, але товари відвантажив у січні 2024 року. Дохід визнається груднем 2023 року. І в цьому ж місяці може визнати витрати – собівартість реалізованих товарів за умови, що вони їм були раніше сплачені та мають документальне підтвердження; </w:t>
      </w:r>
    </w:p>
    <w:p w:rsidR="00833D3F" w:rsidRPr="00960792" w:rsidRDefault="00833D3F" w:rsidP="0096079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у грудні 2023 року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відвантажив товари, але оплату отримав за них у січні 2024 року. Дохід він визнає у січні 2024 року. І в цьому ж місяці може визнати витрати – собівартість реалізованих товарів за умови, що вони їм були раніше сплачені та мають документальне підтвердження.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proofErr w:type="spellStart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на загальній системі оподаткування книга обліку доходів та витрат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Насьогодні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Книга обліку доходів і витрат ведеться за типовою формою, яка затверджена </w:t>
      </w:r>
      <w:hyperlink r:id="rId22" w:anchor="Text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наказом Мінфіну від 13.05.2021 № 261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r w:rsidRPr="00960792">
        <w:rPr>
          <w:rFonts w:ascii="Bookman Old Style" w:eastAsia="Times New Roman" w:hAnsi="Bookman Old Style" w:cs="Times New Roman"/>
          <w:i/>
          <w:iCs/>
          <w:sz w:val="24"/>
          <w:szCs w:val="24"/>
        </w:rPr>
        <w:t>далі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–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Наказ № 261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). Цим же наказом затверджений і Порядок ведення даної Книги. Реєструвати Книгу не потрібно. Законодавством допускається ведення Книги не тільки у паперовій, але й у електронній формі (п. 177.10 ПК), наприклад у Excel. Можливості ж ведення Книги обліку у електронному кабінеті податківці так і не створили.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Зверніть увагу, що брошурувати, шнурувати, роздруковувати чи використовувати електронний підпис при веденні Книги облік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>у доходів і витрат не потрібно.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Тепер детальніше про</w:t>
      </w:r>
      <w:r w:rsidR="0096079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витрати на амортизацію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придбаних основних засобів.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Амортизація у </w:t>
      </w:r>
      <w:proofErr w:type="spellStart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на загальній системі 2024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lastRenderedPageBreak/>
        <w:t>ФОП-загальники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можуть у витратах визнавати </w:t>
      </w:r>
      <w:hyperlink r:id="rId23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амортизацію основних засобів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(ОЗ) і нематеріальних активів (строки корисного використання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встановлює відповідно до пп. 177.4.9 ПК, метод амортизації – лише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прямолінійний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). 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Амортизація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 – це поступове віднесення їхньої вартості на витрати. Одразу включити вартість придбаних ОЗ до складу витрат – не можна. Облік амортизації у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ФОП-загальника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 ведеться за тими ж правилами, що й у </w:t>
      </w:r>
      <w:hyperlink r:id="rId24" w:anchor="Text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НП(С)БО 7 «Основні засоби»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(лист ДФС від 25.07.2017 № 16192/6/99-99-13-01-02-15).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Зверніть увагу, що за податковим законодавством ОЗ вважаються об’єкти зі строком служби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1 рік та більше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та вартістю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понад 20 тис. грн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. Якщо ж ОЗ не потрапили в цю межу, то маємо справу з малоцінними необоротними матеріальними активами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(МНМА)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, які можна одразу віднести на витрати (роз’яснення ДПС 104.05 ЗІР, також пп. 177.4.1 ПК). Наприклад, придбаний перфоратор за 9600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грн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або електродриль за 5500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грн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r w:rsidRPr="00960792">
        <w:rPr>
          <w:rFonts w:ascii="Times New Roman" w:eastAsia="Times New Roman" w:hAnsi="Times New Roman" w:cs="Times New Roman"/>
          <w:sz w:val="24"/>
          <w:szCs w:val="24"/>
        </w:rPr>
        <w:t>˂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20000 тис.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грн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). 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color w:val="800000"/>
          <w:sz w:val="24"/>
          <w:szCs w:val="24"/>
        </w:rPr>
        <w:t>Увага: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може поступово віднести на витрати вартість обладнання та інших ОЗ шляхом амортизації. Якщо ж їхня вартість не перевищує 20000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грн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, то взагалі можна їх одразу визнати витратами.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Основні правила обліку амортизації для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ФОП-загальника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такі: </w:t>
      </w:r>
    </w:p>
    <w:p w:rsidR="00833D3F" w:rsidRPr="00960792" w:rsidRDefault="00833D3F" w:rsidP="0096079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визнання витрат на амортизацію здійснюється щомісяця, а починає нараховуватися з 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місяця наступного за місяцем введення об’єкта в експлуатацію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 (п. 29 НП(С)БО 7 «Основні засоби» та згадані роз’яснення податківців); </w:t>
      </w:r>
    </w:p>
    <w:p w:rsidR="00833D3F" w:rsidRPr="00960792" w:rsidRDefault="00833D3F" w:rsidP="0096079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місяць придбання та місяць введення в експлуатацію також можуть відрізнятися, тому введення в експлуатацію необхідно оформити документально. Це можуть бути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акт введення в експлуатацію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або ж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наказ про введення в експлуатацію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може їх скласти у довільній формі або використати готові бланки від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юросіб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, наприклад з </w:t>
      </w:r>
      <w:hyperlink r:id="rId25" w:anchor="Text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наказу Мінфіну від 10.03.2016 № 818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>; </w:t>
      </w:r>
    </w:p>
    <w:p w:rsidR="00833D3F" w:rsidRPr="00960792" w:rsidRDefault="00833D3F" w:rsidP="0096079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НЕ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 підлягають амортизації 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ОЗ подвійного призначення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: земельні ділянки, об’єкти житлової нерухомості, легкові автомобілі. Можна також амортизувати вантажні автомобілі. Однак легкову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автівку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насьогодні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ФОП-загальник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не може амортизувати навіть за умови, що він використовує її виключно у підприємницькій діяльності; </w:t>
      </w:r>
    </w:p>
    <w:p w:rsidR="00833D3F" w:rsidRPr="00960792" w:rsidRDefault="00833D3F" w:rsidP="0096079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для тих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, які використовують стандартну Книгу обліку доходів і витрат амортизація – це 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графа 8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; </w:t>
      </w:r>
    </w:p>
    <w:p w:rsidR="00833D3F" w:rsidRPr="00960792" w:rsidRDefault="00833D3F" w:rsidP="0096079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якщо здійснюються витрати на 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реконструкцію, модернізацію та інші види поліпшення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 вантажних чи інших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нелегкових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автомобілів, у т.ч. спецтехніки, то їх усі, окрім поточного ремонту слід відносити на збільшення вартості автомобіля та далі амортизувати, а не включати до складу поточних витрат (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абз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. 3-й пп. 177.4.6 ПК). 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color w:val="740C1F"/>
          <w:sz w:val="24"/>
          <w:szCs w:val="24"/>
        </w:rPr>
        <w:t>Увага:</w:t>
      </w:r>
      <w:r w:rsidRPr="00960792">
        <w:rPr>
          <w:rFonts w:ascii="Bookman Old Style" w:eastAsia="Times New Roman" w:hAnsi="Bookman Old Style" w:cs="Times New Roman"/>
          <w:color w:val="740C1F"/>
          <w:sz w:val="24"/>
          <w:szCs w:val="24"/>
        </w:rPr>
        <w:t> 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ФОП-загальникам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можна амортизувати вантажні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автівки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та спецтехніку.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Розрізняють легкові та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нелегкові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автомобілі на основі </w:t>
      </w:r>
      <w:hyperlink r:id="rId26" w:anchor="Text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Закону «Про автомобільний транспорт» від 05.04.2001 № 2344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>. Легковий призначений для перевезення пасажирів з кількістю місць для 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сидіння не більше ніж 9 з місцем водія включно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. Отже, якщо за технічною документацією у автомобіля 10 місць, то його уже можна амортизувати, так як він не є 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lastRenderedPageBreak/>
        <w:t>легковим (мова йде про «мікроавтобуси»). Зверніть увагу, що Закон від 24.02.2023 вводить визначення електричних автомобілів, у т.ч. вантажного, тож їх теж можна амортизувати.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Приклади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 застосування наведених правил амортизації: </w:t>
      </w:r>
    </w:p>
    <w:p w:rsidR="00833D3F" w:rsidRPr="00960792" w:rsidRDefault="00833D3F" w:rsidP="0096079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придбав обладнання у лютому 2024 року, а у березні 2024 року ввів його в експлуатацію. Першим місяцем нарахування амортизації буде саме березень 2024 року і у цьому ж місяці він має занести її суму до своєї Книги обліку доходів і витрат; </w:t>
      </w:r>
    </w:p>
    <w:p w:rsidR="00833D3F" w:rsidRPr="00960792" w:rsidRDefault="00833D3F" w:rsidP="0096079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має легковий автомобіль і 3 вантажних. Амортизувати можна лише вантажні; </w:t>
      </w:r>
    </w:p>
    <w:p w:rsidR="00833D3F" w:rsidRPr="00960792" w:rsidRDefault="00833D3F" w:rsidP="0096079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придбав обладнання – 6 перфораторів загальною вартістю 24000 грн. Кожний з них можна віднести на витрати, так як один перфоратор коштує 4000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грн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, що менше за межу МНМА/ОЗ – 20000 грн.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Податковий кредит з ПДВ на вантажівки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Дозвіл амортизувати вантажні автомобілі означає ще й можливість мати 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податковий кредит 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на суму ПДВ, сплачену при придбанні вантажних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автівок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, так як тепер їх можна пов’язати з господарською діяльністю. 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Сплата ЄСВ </w:t>
      </w:r>
      <w:proofErr w:type="spellStart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на загальній системі оподаткування 2024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Зміни в цілому пов’язані зі зміною </w:t>
      </w:r>
      <w:hyperlink r:id="rId27" w:tgtFrame="_blank" w:history="1">
        <w:r w:rsidRPr="00960792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мінімальної заробітної плати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, яка з 01.01.2024 становитиме 7100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грн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, а з 01.04.2024 – 8000 грн. Як наслідок, це впливає на мінімальний та максимальний розміри ЄСВ. Однак з березня 2022 року та 12 місяців після закінчення воєнного стану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мають право не сплачувати ЄСВ. Довідкова інформація про ЄСВ для 2024 року наведена у </w:t>
      </w:r>
      <w:r w:rsidRPr="00960792">
        <w:rPr>
          <w:rFonts w:ascii="Bookman Old Style" w:eastAsia="Times New Roman" w:hAnsi="Bookman Old Style" w:cs="Times New Roman"/>
          <w:i/>
          <w:iCs/>
          <w:sz w:val="24"/>
          <w:szCs w:val="24"/>
        </w:rPr>
        <w:t>таблиці нижче.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6"/>
        <w:gridCol w:w="6392"/>
      </w:tblGrid>
      <w:tr w:rsidR="00833D3F" w:rsidRPr="00960792" w:rsidTr="00833D3F">
        <w:trPr>
          <w:trHeight w:val="113"/>
        </w:trPr>
        <w:tc>
          <w:tcPr>
            <w:tcW w:w="50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ЄСВ У ФОП-ЗАГАЛЬНИКА 2024</w:t>
            </w:r>
          </w:p>
        </w:tc>
      </w:tr>
      <w:tr w:rsidR="00833D3F" w:rsidRPr="00960792" w:rsidTr="00833D3F">
        <w:trPr>
          <w:trHeight w:val="282"/>
        </w:trPr>
        <w:tc>
          <w:tcPr>
            <w:tcW w:w="165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Критерії</w:t>
            </w:r>
          </w:p>
        </w:tc>
        <w:tc>
          <w:tcPr>
            <w:tcW w:w="33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EBED"/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Загальна система оподаткування</w:t>
            </w:r>
          </w:p>
        </w:tc>
      </w:tr>
      <w:tr w:rsidR="00833D3F" w:rsidRPr="00960792" w:rsidTr="00833D3F">
        <w:trPr>
          <w:trHeight w:val="2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  <w:tr w:rsidR="00833D3F" w:rsidRPr="00960792" w:rsidTr="00833D3F">
        <w:trPr>
          <w:trHeight w:val="188"/>
        </w:trPr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база розрахунку та сплати ЄСВ</w:t>
            </w:r>
          </w:p>
        </w:tc>
        <w:tc>
          <w:tcPr>
            <w:tcW w:w="3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чистий оподатковуваний дохід (прибуток) × 0,22</w:t>
            </w:r>
          </w:p>
        </w:tc>
      </w:tr>
      <w:tr w:rsidR="00833D3F" w:rsidRPr="00960792" w:rsidTr="00833D3F">
        <w:trPr>
          <w:trHeight w:val="377"/>
        </w:trPr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мінімальний розмір ЄСВ</w:t>
            </w:r>
          </w:p>
        </w:tc>
        <w:tc>
          <w:tcPr>
            <w:tcW w:w="3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мінімальна зарплата за місяць × 0,22</w:t>
            </w:r>
          </w:p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(з 01.01.2024 – 1562 </w:t>
            </w:r>
            <w:proofErr w:type="spellStart"/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грн</w:t>
            </w:r>
            <w:proofErr w:type="spellEnd"/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, з 01.04.2024 – 1760 </w:t>
            </w:r>
            <w:proofErr w:type="spellStart"/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грн</w:t>
            </w:r>
            <w:proofErr w:type="spellEnd"/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)</w:t>
            </w:r>
          </w:p>
        </w:tc>
      </w:tr>
      <w:tr w:rsidR="00833D3F" w:rsidRPr="00960792" w:rsidTr="00833D3F">
        <w:trPr>
          <w:trHeight w:val="377"/>
        </w:trPr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максимальний розмір ЄСВ</w:t>
            </w:r>
          </w:p>
        </w:tc>
        <w:tc>
          <w:tcPr>
            <w:tcW w:w="3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15 × Мінімальна зарплата × 0,22</w:t>
            </w:r>
          </w:p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(з 01.01.2024 – 23430 </w:t>
            </w:r>
            <w:proofErr w:type="spellStart"/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грн</w:t>
            </w:r>
            <w:proofErr w:type="spellEnd"/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, з 01.04.2024 – 26400 </w:t>
            </w:r>
            <w:proofErr w:type="spellStart"/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грн</w:t>
            </w:r>
            <w:proofErr w:type="spellEnd"/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)</w:t>
            </w:r>
          </w:p>
        </w:tc>
      </w:tr>
      <w:tr w:rsidR="00833D3F" w:rsidRPr="00960792" w:rsidTr="00833D3F">
        <w:trPr>
          <w:trHeight w:val="188"/>
        </w:trPr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звітність з ЄСВ</w:t>
            </w:r>
          </w:p>
        </w:tc>
        <w:tc>
          <w:tcPr>
            <w:tcW w:w="3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3D3F" w:rsidRPr="00960792" w:rsidRDefault="00833D3F" w:rsidP="00960792">
            <w:pPr>
              <w:spacing w:after="0" w:line="240" w:lineRule="auto"/>
              <w:ind w:firstLine="284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60792">
              <w:rPr>
                <w:rFonts w:ascii="Bookman Old Style" w:eastAsia="Times New Roman" w:hAnsi="Bookman Old Style" w:cs="Times New Roman"/>
                <w:sz w:val="18"/>
                <w:szCs w:val="18"/>
              </w:rPr>
              <w:t>Додаток ЄСВ 1 у складі Податкової декларації про майновий стан і доходи</w:t>
            </w:r>
          </w:p>
        </w:tc>
      </w:tr>
    </w:tbl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Звітність </w:t>
      </w:r>
      <w:proofErr w:type="spellStart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на загальній системі оподаткування та строки сплати податків</w:t>
      </w:r>
    </w:p>
    <w:p w:rsidR="00833D3F" w:rsidRPr="00960792" w:rsidRDefault="00313D11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hyperlink r:id="rId28" w:history="1">
        <w:r w:rsidR="00833D3F" w:rsidRPr="00960792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</w:rPr>
          <w:t>ПДФО</w:t>
        </w:r>
      </w:hyperlink>
      <w:r w:rsidR="00833D3F"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«за себе».</w:t>
      </w:r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Сума оподатковуваного прибутку </w:t>
      </w:r>
      <w:proofErr w:type="spellStart"/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визначається за результатами календарного року. Однак сплата ПДФО й надалі відбувається у вигляді авансових платежів.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Авансові платежі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розраховує самостійно на підставі фактичних даних, які існують в Книзі обліку доходів і витрат за підсумками кварталу. Сплату здійснюють 20-го числа місяця наступного за кожним календарним кварталом, окрім 4 кварталу. За останній 4-й квартал авансовий платіж з 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lastRenderedPageBreak/>
        <w:t>ПДФО не розраховують та не сплачують, так як сплачується загальна сума податку за рік з урахуванням уже сплачених авансових платежів.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З 2023 року Податкова декларація про майновий стан і доходи подається не впродовж 40 к. днів з кінця року, як раніше, а 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до 01 травня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hyperlink r:id="rId29" w:anchor="Text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Закон від 15.08.2022 № 2520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  <w:r w:rsidRPr="00960792">
        <w:rPr>
          <w:rFonts w:ascii="Bookman Old Style" w:eastAsia="Times New Roman" w:hAnsi="Bookman Old Style" w:cs="Times New Roman"/>
          <w:i/>
          <w:iCs/>
          <w:sz w:val="24"/>
          <w:szCs w:val="24"/>
        </w:rPr>
        <w:t>читайте також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hyperlink r:id="rId30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роз’яснення ГУ ДПС у Волинській області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>).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Так, у 2024 ПДФО «за себе» для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 треба сплатити: </w:t>
      </w:r>
    </w:p>
    <w:p w:rsidR="00833D3F" w:rsidRPr="00960792" w:rsidRDefault="00833D3F" w:rsidP="0096079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до 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20 квітня 2024 р. – за І квартал 2024; </w:t>
      </w:r>
    </w:p>
    <w:p w:rsidR="00833D3F" w:rsidRPr="00960792" w:rsidRDefault="00833D3F" w:rsidP="0096079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до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20 липня 2024 р. – за ІІ квартал 2024; </w:t>
      </w:r>
    </w:p>
    <w:p w:rsidR="00833D3F" w:rsidRPr="00960792" w:rsidRDefault="00833D3F" w:rsidP="0096079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до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22 жовтня 2024 р. – за ІІІ квартал 2024.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ВЗ «за себе». 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Військовий збір сплачується тільки один раз, за підсумками року. Сплачується разом з ПДФО.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ЄСВ «за себе».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 </w:t>
      </w:r>
      <w:hyperlink r:id="rId31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 xml:space="preserve">Всі </w:t>
        </w:r>
        <w:proofErr w:type="spellStart"/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ФОП</w:t>
        </w:r>
        <w:proofErr w:type="spellEnd"/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, у т.ч. й на загальній системі, зобов'язані сплачувати ЄСВ</w:t>
        </w:r>
      </w:hyperlink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 до 20-го числа місяця, наступного за звітним кварталом. 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Це значить, що у 2023 р. такий графік сплати ЄСВ для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>: </w:t>
      </w:r>
    </w:p>
    <w:p w:rsidR="00833D3F" w:rsidRPr="00960792" w:rsidRDefault="00833D3F" w:rsidP="00960792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до 20 квітня 2023 р. – за І квартал 2023 р.; </w:t>
      </w:r>
    </w:p>
    <w:p w:rsidR="00833D3F" w:rsidRPr="00960792" w:rsidRDefault="00833D3F" w:rsidP="00960792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до 20 липня 2023 р. – за ІІ квартал 2023 р.; </w:t>
      </w:r>
    </w:p>
    <w:p w:rsidR="00833D3F" w:rsidRPr="00960792" w:rsidRDefault="00833D3F" w:rsidP="00960792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до 20 жовтня 2023 р. – за ІІІ квартал 2023 р; </w:t>
      </w:r>
    </w:p>
    <w:p w:rsidR="00833D3F" w:rsidRPr="00960792" w:rsidRDefault="00833D3F" w:rsidP="00960792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до 22 січня 2024 р. – за IV квартал 2023 р. (крайній дата – 20 січня 2024 р. припадає на суботу).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Якщо крайній день припадає на вихідний, то він переноситься на найближчий за ним робочий день. 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>Щодо ПДФО, ВЗ та ЄСВ, які стосуються найманих працівників, то сплачуються вони у стандартному порядку, тобто в момент виплати заробітної плати.</w:t>
      </w:r>
    </w:p>
    <w:p w:rsidR="00833D3F" w:rsidRPr="00960792" w:rsidRDefault="00313D11" w:rsidP="00960792">
      <w:pPr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hyperlink r:id="rId32" w:tgtFrame="_blank" w:history="1">
        <w:r w:rsidR="00833D3F"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 xml:space="preserve">Перехід </w:t>
        </w:r>
        <w:proofErr w:type="spellStart"/>
        <w:r w:rsidR="00833D3F"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юрособи</w:t>
        </w:r>
        <w:proofErr w:type="spellEnd"/>
        <w:r w:rsidR="00833D3F"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 xml:space="preserve"> на спрощену чи загальну систему оподаткування </w:t>
        </w:r>
      </w:hyperlink>
    </w:p>
    <w:p w:rsidR="00833D3F" w:rsidRPr="00960792" w:rsidRDefault="00313D11" w:rsidP="00960792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pict>
          <v:shape id="_x0000_i1026" type="#_x0000_t75" alt="" style="width:24pt;height:24pt"/>
        </w:pict>
      </w:r>
      <w:r w:rsidR="00833D3F" w:rsidRPr="00960792">
        <w:rPr>
          <w:rFonts w:ascii="Bookman Old Style" w:eastAsia="Times New Roman" w:hAnsi="Bookman Old Style" w:cs="Times New Roman"/>
          <w:sz w:val="24"/>
          <w:szCs w:val="24"/>
        </w:rPr>
        <w:t>Перейти можна як із загальної системи оподаткування на спрощену, так і навпаки. Супроводжують це перехідні операції, коли частина операції, як-от відвантаження товару, відбувається за однієї системи оподаткування, а оплата — вже за іншої. Розповімо, як їх оподатковувати єдиним податком, податком на прибуток і ПДВ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Перехідні витрати </w:t>
      </w:r>
      <w:proofErr w:type="spellStart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: 2023 чи 2024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У кінці місяця, кварталу, року підприємцю завжди слід бути обережним з перехідними витратами. Особливо в кінці року, так як </w:t>
      </w:r>
      <w:hyperlink r:id="rId33" w:tgtFrame="_blank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декларація подається саме за рік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>. Нижче наведено типові ситуації розмежування витрат між двома роками. Аналогічні підходи застосовуються й до перехідних витрат між кварталами 2024 року і 2023 і 2024 роком. 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Продаж товарів у іншому місяці. 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заплатив за придбані товари у грудні 2023 р., але продає їх та отримує гроші за них лише у січні 2024 р. У такій ситуації відображаємо витрати у січні 2024 р., тобто у місяці 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lastRenderedPageBreak/>
        <w:t>отримання доходу, з яким були пов’язані витрати.  За роз’ясненнями податківців у графу 6 Книги обліку такі витрати теж потрібно занести у січні 2024 р. (консультація ДПС 104.05 ЗІР).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color w:val="740C1F"/>
          <w:sz w:val="24"/>
          <w:szCs w:val="24"/>
        </w:rPr>
        <w:t>Увага:</w:t>
      </w:r>
      <w:r w:rsidRPr="00960792">
        <w:rPr>
          <w:rFonts w:ascii="Bookman Old Style" w:eastAsia="Times New Roman" w:hAnsi="Bookman Old Style" w:cs="Times New Roman"/>
          <w:color w:val="740C1F"/>
          <w:sz w:val="24"/>
          <w:szCs w:val="24"/>
        </w:rPr>
        <w:t> 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витрати мають бути сплачені та пов’язані з отриманням певного доходу за розрахунковий період.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Сплата комунальних послуг і послуг зв’язку.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 Типова ситуація: опалення, зв’язок, інші послуги мали місце у грудні 2023 р. Однак сплата їхня відбувається у січні 2024 р. Витратами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ФОП-загальника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вони стають у січні 2024 р. – у місяці фактичної сплати (роз’яснення ДПС 104.04 ЗІР). Виходить, що якщо вони не сплачені, то зменшувати базу у грудні 2023 р. не можна.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Орендні платежі.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 У випадку, якщо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здійснює оплату у грудні 2023 р. послуг з оренди на 1 квартал 2024 р., маємо ситуацію навпаки: витрати сплачені у 2023 р., але стосуються послуг, які будуть отримані лише в 2024 р. Витрати зі сплати оренди відображаємо у тому періоді, коли вони були фактично сплачені, тобто у грудні 2023 р. (роз’яснення ДПС 104.05 ЗІР). 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Виплати найманим працівникам. 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Зарплата може бути виплачена у січні 2024 р., але стосуватися грудня 2023 р. Дану ситуацію відображаємо таким чином:</w:t>
      </w:r>
    </w:p>
    <w:p w:rsidR="00833D3F" w:rsidRPr="00960792" w:rsidRDefault="00833D3F" w:rsidP="0096079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у Книзі обліку – у січні 2024 р., але за умови, що </w:t>
      </w:r>
      <w:proofErr w:type="spellStart"/>
      <w:r w:rsidRPr="00960792">
        <w:rPr>
          <w:rFonts w:ascii="Bookman Old Style" w:eastAsia="Times New Roman" w:hAnsi="Bookman Old Style" w:cs="Times New Roman"/>
          <w:sz w:val="24"/>
          <w:szCs w:val="24"/>
        </w:rPr>
        <w:t>ФОП</w:t>
      </w:r>
      <w:proofErr w:type="spellEnd"/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має у січні 2024 р. певні доходи. При цьому не обов’язково у день виплати, а взагалі у місяці виплати. Якщо доходів немає взагалі за весь місяць, то ДПС забороняє визнавати витрати на зарплату у такому місяці (роз’яснення ДПС 104.08 ЗІР);</w:t>
      </w:r>
    </w:p>
    <w:p w:rsidR="00833D3F" w:rsidRPr="00960792" w:rsidRDefault="00833D3F" w:rsidP="0096079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у графі 3 </w:t>
      </w:r>
      <w:hyperlink r:id="rId34" w:history="1">
        <w:r w:rsidRPr="00960792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Додатка 4ДФ Податкового розрахунку</w:t>
        </w:r>
      </w:hyperlink>
      <w:r w:rsidRPr="00960792">
        <w:rPr>
          <w:rFonts w:ascii="Bookman Old Style" w:eastAsia="Times New Roman" w:hAnsi="Bookman Old Style" w:cs="Times New Roman"/>
          <w:sz w:val="24"/>
          <w:szCs w:val="24"/>
        </w:rPr>
        <w:t xml:space="preserve"> – за IV квартал 2023 р.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Сплата ЄСВ.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  Включаємо його до витрат у 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місяці фактичної сплати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, тобто:</w:t>
      </w:r>
    </w:p>
    <w:p w:rsidR="00833D3F" w:rsidRPr="00960792" w:rsidRDefault="00833D3F" w:rsidP="00960792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ЄСВ за найманими працівниками за  грудень 2023 р.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  – до Книги обліку вносимо у січні 2024 р., якщо зарплату й ЄСВ платимо у січні; у грудні 2023, якщо зарплату й ЄСВ платимо у грудні 2023;</w:t>
      </w:r>
    </w:p>
    <w:p w:rsidR="00833D3F" w:rsidRPr="00960792" w:rsidRDefault="00833D3F" w:rsidP="00960792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ЄСВ «за себе» за IV квартал 2023 р.  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– до Книги обліку вносимо у січні 2024 р. (місяці сплати).</w:t>
      </w:r>
    </w:p>
    <w:p w:rsidR="00833D3F" w:rsidRPr="00960792" w:rsidRDefault="00833D3F" w:rsidP="00960792">
      <w:pPr>
        <w:spacing w:before="100" w:beforeAutospacing="1" w:after="100" w:afterAutospacing="1" w:line="24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60792">
        <w:rPr>
          <w:rFonts w:ascii="Bookman Old Style" w:eastAsia="Times New Roman" w:hAnsi="Bookman Old Style" w:cs="Times New Roman"/>
          <w:b/>
          <w:bCs/>
          <w:color w:val="740C1F"/>
          <w:sz w:val="24"/>
          <w:szCs w:val="24"/>
        </w:rPr>
        <w:t>Увага:</w:t>
      </w:r>
      <w:r w:rsidRPr="00960792">
        <w:rPr>
          <w:rFonts w:ascii="Bookman Old Style" w:eastAsia="Times New Roman" w:hAnsi="Bookman Old Style" w:cs="Times New Roman"/>
          <w:b/>
          <w:bCs/>
          <w:sz w:val="24"/>
          <w:szCs w:val="24"/>
        </w:rPr>
        <w:t> </w:t>
      </w:r>
      <w:r w:rsidRPr="00960792">
        <w:rPr>
          <w:rFonts w:ascii="Bookman Old Style" w:eastAsia="Times New Roman" w:hAnsi="Bookman Old Style" w:cs="Times New Roman"/>
          <w:sz w:val="24"/>
          <w:szCs w:val="24"/>
        </w:rPr>
        <w:t>для того, щоб у місяці можна було показати витрати треба, щоб у ньому були хоча якісь доходи. Не обов’язково у день витрат.</w:t>
      </w:r>
    </w:p>
    <w:sectPr w:rsidR="00833D3F" w:rsidRPr="00960792" w:rsidSect="00313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576"/>
    <w:multiLevelType w:val="multilevel"/>
    <w:tmpl w:val="1B4C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C26C6"/>
    <w:multiLevelType w:val="multilevel"/>
    <w:tmpl w:val="54A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B2772"/>
    <w:multiLevelType w:val="multilevel"/>
    <w:tmpl w:val="D058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62DEB"/>
    <w:multiLevelType w:val="multilevel"/>
    <w:tmpl w:val="A4D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304C2"/>
    <w:multiLevelType w:val="multilevel"/>
    <w:tmpl w:val="65F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64DFF"/>
    <w:multiLevelType w:val="multilevel"/>
    <w:tmpl w:val="DBE6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23AEB"/>
    <w:multiLevelType w:val="multilevel"/>
    <w:tmpl w:val="0AEC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138B0"/>
    <w:multiLevelType w:val="multilevel"/>
    <w:tmpl w:val="DEDA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E6D30"/>
    <w:multiLevelType w:val="multilevel"/>
    <w:tmpl w:val="1F5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36852"/>
    <w:multiLevelType w:val="multilevel"/>
    <w:tmpl w:val="A4A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405C3F"/>
    <w:multiLevelType w:val="multilevel"/>
    <w:tmpl w:val="305E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8001F4"/>
    <w:multiLevelType w:val="multilevel"/>
    <w:tmpl w:val="3DEC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D06EC"/>
    <w:multiLevelType w:val="multilevel"/>
    <w:tmpl w:val="548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D1B2D"/>
    <w:multiLevelType w:val="multilevel"/>
    <w:tmpl w:val="8A24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833D3F"/>
    <w:rsid w:val="0018166F"/>
    <w:rsid w:val="00313D11"/>
    <w:rsid w:val="00833D3F"/>
    <w:rsid w:val="0096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11"/>
  </w:style>
  <w:style w:type="paragraph" w:styleId="2">
    <w:name w:val="heading 2"/>
    <w:basedOn w:val="a"/>
    <w:link w:val="20"/>
    <w:uiPriority w:val="9"/>
    <w:qFormat/>
    <w:rsid w:val="00833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D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3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3D3F"/>
    <w:rPr>
      <w:b/>
      <w:bCs/>
    </w:rPr>
  </w:style>
  <w:style w:type="character" w:styleId="a5">
    <w:name w:val="Hyperlink"/>
    <w:basedOn w:val="a0"/>
    <w:uiPriority w:val="99"/>
    <w:semiHidden/>
    <w:unhideWhenUsed/>
    <w:rsid w:val="00833D3F"/>
    <w:rPr>
      <w:color w:val="0000FF"/>
      <w:u w:val="single"/>
    </w:rPr>
  </w:style>
  <w:style w:type="character" w:styleId="a6">
    <w:name w:val="Emphasis"/>
    <w:basedOn w:val="a0"/>
    <w:uiPriority w:val="20"/>
    <w:qFormat/>
    <w:rsid w:val="00833D3F"/>
    <w:rPr>
      <w:i/>
      <w:iCs/>
    </w:rPr>
  </w:style>
  <w:style w:type="character" w:customStyle="1" w:styleId="incontentbutton">
    <w:name w:val="incontentbutton"/>
    <w:basedOn w:val="a0"/>
    <w:rsid w:val="00833D3F"/>
  </w:style>
  <w:style w:type="paragraph" w:customStyle="1" w:styleId="redblockwithlogotext">
    <w:name w:val="redblockwithlogo__text"/>
    <w:basedOn w:val="a"/>
    <w:rsid w:val="0083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article/7309-onovlena-deklaratsya-z-pdv" TargetMode="External"/><Relationship Id="rId13" Type="http://schemas.openxmlformats.org/officeDocument/2006/relationships/hyperlink" Target="/article/7062-podatok-na-neruhome-mayno" TargetMode="External"/><Relationship Id="rId18" Type="http://schemas.openxmlformats.org/officeDocument/2006/relationships/hyperlink" Target="/files/2023/10/nakaz-Minfin-467.pdf" TargetMode="External"/><Relationship Id="rId26" Type="http://schemas.openxmlformats.org/officeDocument/2006/relationships/hyperlink" Target="https://zakon.rada.gov.ua/laws/show/2344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755-17" TargetMode="External"/><Relationship Id="rId34" Type="http://schemas.openxmlformats.org/officeDocument/2006/relationships/hyperlink" Target="/article/8892-dodatok-4df-do-podatkovogo-rozrahunku-z-pdfo-ta-sv-zrazok-zapovnennya" TargetMode="External"/><Relationship Id="rId7" Type="http://schemas.openxmlformats.org/officeDocument/2006/relationships/hyperlink" Target="https://gb.expertus.com.ua/recommendations/5321?utm_medium=referral&amp;utm_source=buhplatforma.com.ua&amp;utm_term=7066&amp;utm_content=article&amp;utm_campaign=red_block_content_link" TargetMode="External"/><Relationship Id="rId12" Type="http://schemas.openxmlformats.org/officeDocument/2006/relationships/hyperlink" Target="/article/7574-plata-za-zemlyu-2020" TargetMode="External"/><Relationship Id="rId17" Type="http://schemas.openxmlformats.org/officeDocument/2006/relationships/hyperlink" Target="/article/7306-deklaratsya-pro-maynoviy-stan-dohodi" TargetMode="External"/><Relationship Id="rId25" Type="http://schemas.openxmlformats.org/officeDocument/2006/relationships/hyperlink" Target="https://zakon.rada.gov.ua/laws/show/z1336-16" TargetMode="External"/><Relationship Id="rId33" Type="http://schemas.openxmlformats.org/officeDocument/2006/relationships/hyperlink" Target="https://gb.expertus.com.ua/recommendations/5642?utm_medium=referral&amp;utm_source=buhplatforma.com.ua&amp;utm_term=7066&amp;utm_content=article&amp;utm_campaign=red_block_content_link" TargetMode="External"/><Relationship Id="rId2" Type="http://schemas.openxmlformats.org/officeDocument/2006/relationships/styles" Target="styles.xml"/><Relationship Id="rId16" Type="http://schemas.openxmlformats.org/officeDocument/2006/relationships/hyperlink" Target="/article/7556-nov-pravila-turistichnogo-zboru-yak-za-nimi-pratsyuvati" TargetMode="External"/><Relationship Id="rId20" Type="http://schemas.openxmlformats.org/officeDocument/2006/relationships/hyperlink" Target="/article/7521-yak-pravilno-sklasti-akt-vikonanih-robtakt-nadanih-poslug" TargetMode="External"/><Relationship Id="rId29" Type="http://schemas.openxmlformats.org/officeDocument/2006/relationships/hyperlink" Target="https://zakon.rada.gov.ua/laws/show/2520-20" TargetMode="External"/><Relationship Id="rId1" Type="http://schemas.openxmlformats.org/officeDocument/2006/relationships/numbering" Target="numbering.xml"/><Relationship Id="rId6" Type="http://schemas.openxmlformats.org/officeDocument/2006/relationships/hyperlink" Target="/article/8813-fop-dinnik-perevishchu-lmt-v-1-mln-grn-chi-potrben-rro" TargetMode="External"/><Relationship Id="rId11" Type="http://schemas.openxmlformats.org/officeDocument/2006/relationships/hyperlink" Target="/article/7192-dodatok-pn-podatok-na-dohodi-nerezidentv" TargetMode="External"/><Relationship Id="rId24" Type="http://schemas.openxmlformats.org/officeDocument/2006/relationships/hyperlink" Target="https://zakon.rada.gov.ua/laws/show/z0288-00" TargetMode="External"/><Relationship Id="rId32" Type="http://schemas.openxmlformats.org/officeDocument/2006/relationships/hyperlink" Target="https://gb.expertus.com.ua/recommendations/747?utm_medium=referral&amp;utm_source=buhplatforma.com.ua&amp;utm_term=7066&amp;utm_content=article&amp;utm_campaign=red_block_content_vrezka_logocolour" TargetMode="External"/><Relationship Id="rId5" Type="http://schemas.openxmlformats.org/officeDocument/2006/relationships/hyperlink" Target="https://gb.expertus.com.ua/recommendations/1042?utm_medium=referral&amp;utm_source=buhplatforma.com.ua&amp;utm_term=7066&amp;utm_content=article&amp;utm_campaign=red_block_content_link" TargetMode="External"/><Relationship Id="rId15" Type="http://schemas.openxmlformats.org/officeDocument/2006/relationships/hyperlink" Target="/article/6809-skladannya-ta-podannya-podatkovo-deklarats-z-rentno-plati-dlya-msyachnih-platnikv-podatku" TargetMode="External"/><Relationship Id="rId23" Type="http://schemas.openxmlformats.org/officeDocument/2006/relationships/hyperlink" Target="https://gb.expertus.com.ua/recommendations/8557?utm_medium=referral&amp;utm_source=buhplatforma.com.ua&amp;utm_term=7066&amp;utm_content=article&amp;utm_campaign=red_block_content_link" TargetMode="External"/><Relationship Id="rId28" Type="http://schemas.openxmlformats.org/officeDocument/2006/relationships/hyperlink" Target="/article/9210-pdfo-u-2022-rots" TargetMode="External"/><Relationship Id="rId36" Type="http://schemas.openxmlformats.org/officeDocument/2006/relationships/theme" Target="theme/theme1.xml"/><Relationship Id="rId10" Type="http://schemas.openxmlformats.org/officeDocument/2006/relationships/hyperlink" Target="/article/7545-deklaratsya-z-podatku-na-pributok" TargetMode="External"/><Relationship Id="rId19" Type="http://schemas.openxmlformats.org/officeDocument/2006/relationships/hyperlink" Target="/article/8607-obdnannya-sv-ta-pdfo-dina-zvtnst-2021" TargetMode="External"/><Relationship Id="rId31" Type="http://schemas.openxmlformats.org/officeDocument/2006/relationships/hyperlink" Target="/article/8702-splata-sv-fop-u-2021-ro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article/7529-buhoblk-podatku-na-repatratsyu" TargetMode="External"/><Relationship Id="rId14" Type="http://schemas.openxmlformats.org/officeDocument/2006/relationships/hyperlink" Target="/article/7127-ekologchniy-podatok-2019" TargetMode="External"/><Relationship Id="rId22" Type="http://schemas.openxmlformats.org/officeDocument/2006/relationships/hyperlink" Target="https://zakon.rada.gov.ua/laws/show/z0865-21" TargetMode="External"/><Relationship Id="rId27" Type="http://schemas.openxmlformats.org/officeDocument/2006/relationships/hyperlink" Target="/article/16408-minimalna-zarplata-2024" TargetMode="External"/><Relationship Id="rId30" Type="http://schemas.openxmlformats.org/officeDocument/2006/relationships/hyperlink" Target="https://vl.tax.gov.ua/media-ark/news-ark/668049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12477</Words>
  <Characters>7113</Characters>
  <Application>Microsoft Office Word</Application>
  <DocSecurity>0</DocSecurity>
  <Lines>59</Lines>
  <Paragraphs>39</Paragraphs>
  <ScaleCrop>false</ScaleCrop>
  <Company/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2024-03-13T12:29:00Z</dcterms:created>
  <dcterms:modified xsi:type="dcterms:W3CDTF">2024-03-13T14:52:00Z</dcterms:modified>
</cp:coreProperties>
</file>