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center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Перехід </w:t>
      </w:r>
      <w:proofErr w:type="spellStart"/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на загальну систему оподаткування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>Перевага загальної системи у порівнянні зі спрощеною –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податки сплачуються не з доходу, а з прибутку. Прибуток (чистий оподатковуваний дохід) </w:t>
      </w:r>
      <w:proofErr w:type="spellStart"/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– це його доходи, які зменшені на дозволені витрати. 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У разі наявності у підприємця значних витрат вигіднішою стає саме загальна система, а не спрощена (</w:t>
      </w:r>
      <w:hyperlink r:id="rId5" w:tgtFrame="_blank" w:history="1">
        <w:r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єдиний податок</w:t>
        </w:r>
      </w:hyperlink>
      <w:r w:rsidRPr="00960792">
        <w:rPr>
          <w:rFonts w:ascii="Bookman Old Style" w:eastAsia="Times New Roman" w:hAnsi="Bookman Old Style" w:cs="Times New Roman"/>
          <w:sz w:val="24"/>
          <w:szCs w:val="24"/>
        </w:rPr>
        <w:t>). На 3-й групі ЄП, нагадуємо, податок сплачується з обсягу доходу.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Також загальна система єдино можлива у випадках, коли у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є: </w:t>
      </w:r>
    </w:p>
    <w:p w:rsidR="00833D3F" w:rsidRPr="00960792" w:rsidRDefault="00833D3F" w:rsidP="0096079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>заборонені для спрощеної системи види діяльності, наприклад діяльність у сфері аудиту, технічних досліджень, організація та проведення гастрольних заходів, брокерська діяльність (</w:t>
      </w:r>
      <w:r w:rsidRPr="00960792">
        <w:rPr>
          <w:rFonts w:ascii="Bookman Old Style" w:eastAsia="Times New Roman" w:hAnsi="Bookman Old Style" w:cs="Times New Roman"/>
          <w:i/>
          <w:iCs/>
          <w:sz w:val="24"/>
          <w:szCs w:val="24"/>
        </w:rPr>
        <w:t>див.</w:t>
      </w:r>
      <w:r w:rsidR="00960792">
        <w:rPr>
          <w:rFonts w:ascii="Bookman Old Style" w:eastAsia="Times New Roman" w:hAnsi="Bookman Old Style" w:cs="Times New Roman"/>
          <w:sz w:val="24"/>
          <w:szCs w:val="24"/>
        </w:rPr>
        <w:t xml:space="preserve"> п.291.5 ПК);</w:t>
      </w:r>
    </w:p>
    <w:p w:rsidR="00833D3F" w:rsidRPr="00960792" w:rsidRDefault="00833D3F" w:rsidP="0096079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потреба у заборонених для ЄП способах розрахунків, наприклад бартер та інші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негрошові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розрахунки;</w:t>
      </w:r>
    </w:p>
    <w:p w:rsidR="00833D3F" w:rsidRPr="00960792" w:rsidRDefault="00833D3F" w:rsidP="0096079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перевищує </w:t>
      </w:r>
      <w:hyperlink r:id="rId6" w:history="1">
        <w:r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дозволений ліміт виручки (доходу)</w:t>
        </w:r>
      </w:hyperlink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, який дозволений для 3 групи єдиного податку. Для 2023 року це 7.818.900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грн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(=1167 мінімальних зарплат на 01.01).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Податки на загальній системі оподаткування для </w:t>
      </w:r>
      <w:proofErr w:type="spellStart"/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у 2024 році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Які податки на загальній системі оподаткування сплачує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у 2024 році?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сплачує такі податк</w:t>
      </w:r>
      <w:r w:rsidR="00960792">
        <w:rPr>
          <w:rFonts w:ascii="Bookman Old Style" w:eastAsia="Times New Roman" w:hAnsi="Bookman Old Style" w:cs="Times New Roman"/>
          <w:sz w:val="24"/>
          <w:szCs w:val="24"/>
        </w:rPr>
        <w:t>и, збори та обов’язкові внески:</w:t>
      </w:r>
    </w:p>
    <w:p w:rsidR="00833D3F" w:rsidRPr="00960792" w:rsidRDefault="00313D11" w:rsidP="0096079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hyperlink r:id="rId7" w:tgtFrame="_blank" w:history="1">
        <w:r w:rsidR="00833D3F"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податок на доходи фізичних осіб</w:t>
        </w:r>
      </w:hyperlink>
      <w:r w:rsidR="00833D3F"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(ПДФО) – 18%;</w:t>
      </w:r>
    </w:p>
    <w:p w:rsidR="00833D3F" w:rsidRPr="00960792" w:rsidRDefault="00833D3F" w:rsidP="0096079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>військовий збір (ВЗ) – 1,5%;</w:t>
      </w:r>
    </w:p>
    <w:p w:rsidR="00833D3F" w:rsidRPr="00960792" w:rsidRDefault="00833D3F" w:rsidP="0096079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>єдиний соціальний внесок (ЄСВ) – 22%.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>Сплачуються ці податки і збори з однієї бази – отриманого чистого оподатковуваного доходу (прибутку), тобто за формулами: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833D3F" w:rsidRPr="00960792" w:rsidTr="00833D3F">
        <w:tc>
          <w:tcPr>
            <w:tcW w:w="5000" w:type="pct"/>
            <w:vAlign w:val="center"/>
            <w:hideMark/>
          </w:tcPr>
          <w:p w:rsidR="00833D3F" w:rsidRPr="00960792" w:rsidRDefault="00833D3F" w:rsidP="0096079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6079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 xml:space="preserve">Чистий </w:t>
            </w:r>
            <w:proofErr w:type="spellStart"/>
            <w:r w:rsidRPr="0096079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оподаткуваний</w:t>
            </w:r>
            <w:proofErr w:type="spellEnd"/>
            <w:r w:rsidRPr="0096079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 xml:space="preserve"> дохід </w:t>
            </w:r>
            <w:proofErr w:type="spellStart"/>
            <w:r w:rsidRPr="0096079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ФОП</w:t>
            </w:r>
            <w:proofErr w:type="spellEnd"/>
            <w:r w:rsidRPr="0096079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 xml:space="preserve"> (прибуток) = Доходи </w:t>
            </w:r>
            <w:proofErr w:type="spellStart"/>
            <w:r w:rsidRPr="0096079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ФОП</w:t>
            </w:r>
            <w:proofErr w:type="spellEnd"/>
            <w:r w:rsidRPr="0096079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 xml:space="preserve"> – Витрати </w:t>
            </w:r>
            <w:proofErr w:type="spellStart"/>
            <w:r w:rsidRPr="0096079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ФОП</w:t>
            </w:r>
            <w:proofErr w:type="spellEnd"/>
          </w:p>
        </w:tc>
      </w:tr>
    </w:tbl>
    <w:p w:rsidR="00833D3F" w:rsidRPr="00960792" w:rsidRDefault="00833D3F" w:rsidP="00960792">
      <w:pPr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vanish/>
          <w:sz w:val="24"/>
          <w:szCs w:val="24"/>
        </w:rPr>
      </w:pP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9"/>
      </w:tblGrid>
      <w:tr w:rsidR="00833D3F" w:rsidRPr="00960792" w:rsidTr="00833D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D3F" w:rsidRPr="00960792" w:rsidRDefault="00833D3F" w:rsidP="00960792">
            <w:pPr>
              <w:spacing w:before="100" w:beforeAutospacing="1" w:after="100" w:afterAutospacing="1" w:line="240" w:lineRule="auto"/>
              <w:ind w:firstLine="284"/>
              <w:jc w:val="both"/>
              <w:divId w:val="79109232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60792">
              <w:rPr>
                <w:rFonts w:ascii="Bookman Old Style" w:eastAsia="Times New Roman" w:hAnsi="Bookman Old Style" w:cs="Times New Roman"/>
                <w:sz w:val="24"/>
                <w:szCs w:val="24"/>
              </w:rPr>
              <w:t>ПДФО = ЧОД×0,18 </w:t>
            </w:r>
          </w:p>
        </w:tc>
      </w:tr>
      <w:tr w:rsidR="00833D3F" w:rsidRPr="00960792" w:rsidTr="00833D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D3F" w:rsidRPr="00960792" w:rsidRDefault="00833D3F" w:rsidP="0096079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60792">
              <w:rPr>
                <w:rFonts w:ascii="Bookman Old Style" w:eastAsia="Times New Roman" w:hAnsi="Bookman Old Style" w:cs="Times New Roman"/>
                <w:sz w:val="24"/>
                <w:szCs w:val="24"/>
              </w:rPr>
              <w:t>ВЗ = ЧОД×0,015 </w:t>
            </w:r>
          </w:p>
        </w:tc>
      </w:tr>
      <w:tr w:rsidR="00833D3F" w:rsidRPr="00960792" w:rsidTr="00833D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D3F" w:rsidRPr="00960792" w:rsidRDefault="00833D3F" w:rsidP="0096079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60792">
              <w:rPr>
                <w:rFonts w:ascii="Bookman Old Style" w:eastAsia="Times New Roman" w:hAnsi="Bookman Old Style" w:cs="Times New Roman"/>
                <w:sz w:val="24"/>
                <w:szCs w:val="24"/>
              </w:rPr>
              <w:t>ЄСВ = ЧОД×0,22 </w:t>
            </w:r>
          </w:p>
        </w:tc>
      </w:tr>
    </w:tbl>
    <w:p w:rsid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У 2024 році порядок розрахунку та сплати ПДФО, ВЗ для </w:t>
      </w:r>
      <w:proofErr w:type="spellStart"/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практично не змінюється,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окрім складу витрат, що впливає н</w:t>
      </w:r>
      <w:r w:rsidR="00960792">
        <w:rPr>
          <w:rFonts w:ascii="Bookman Old Style" w:eastAsia="Times New Roman" w:hAnsi="Bookman Old Style" w:cs="Times New Roman"/>
          <w:sz w:val="24"/>
          <w:szCs w:val="24"/>
        </w:rPr>
        <w:t>а чистий оподатковуваний дохід.</w:t>
      </w:r>
    </w:p>
    <w:p w:rsidR="00833D3F" w:rsidRPr="00960792" w:rsidRDefault="00313D11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21" style="width:24pt;height:24pt"/>
        </w:pict>
      </w:r>
      <w:r w:rsidR="00833D3F"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Крім того, </w:t>
      </w:r>
      <w:proofErr w:type="spellStart"/>
      <w:r w:rsidR="00833D3F"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="00833D3F"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може ще й сплачувати такі податки: </w:t>
      </w:r>
    </w:p>
    <w:p w:rsidR="00833D3F" w:rsidRPr="00960792" w:rsidRDefault="00833D3F" w:rsidP="0096079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ПДВ,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якщо зареєструється добровільно платником ПДВ або в обов’язковому порядку, коли обсяг доходу за останні 12 місяців сукупно перевищить 1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млн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грн. Це зобов’язує ще й подавати </w:t>
      </w:r>
      <w:hyperlink r:id="rId8" w:tgtFrame="_blank" w:history="1">
        <w:r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Податкову декларацію з ПДВ</w:t>
        </w:r>
      </w:hyperlink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й складати та реєструвати податкові накладні;</w:t>
      </w:r>
    </w:p>
    <w:p w:rsidR="00833D3F" w:rsidRPr="00960792" w:rsidRDefault="00833D3F" w:rsidP="0096079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ПДФО, ВЗ та ЄСВ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 по найманим працівникам, якщо такі є; </w:t>
      </w:r>
    </w:p>
    <w:p w:rsidR="00833D3F" w:rsidRPr="00960792" w:rsidRDefault="00833D3F" w:rsidP="0096079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податок на доходи нерезидентів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 (так званий </w:t>
      </w:r>
      <w:hyperlink r:id="rId9" w:tgtFrame="_blank" w:history="1">
        <w:r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податок на репатріацію</w:t>
        </w:r>
      </w:hyperlink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) – 15 % (менший, якщо є угода про уникнення подвійного 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оподаткування між країнами). Цей податок сплачується, якщо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виплачує доходи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юрособі-нерезиденту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>. Податок утримується з такого виплаченого доходу. Цікавим є те, що для нього 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> подається </w:t>
      </w:r>
      <w:hyperlink r:id="rId10" w:tgtFrame="_blank" w:history="1">
        <w:r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податкова декларація з податку на прибуток підприємств</w:t>
        </w:r>
      </w:hyperlink>
      <w:r w:rsidRPr="00960792">
        <w:rPr>
          <w:rFonts w:ascii="Bookman Old Style" w:eastAsia="Times New Roman" w:hAnsi="Bookman Old Style" w:cs="Times New Roman"/>
          <w:sz w:val="24"/>
          <w:szCs w:val="24"/>
        </w:rPr>
        <w:t> з </w:t>
      </w:r>
      <w:hyperlink r:id="rId11" w:tgtFrame="_blank" w:history="1">
        <w:r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Додатком ПН</w:t>
        </w:r>
      </w:hyperlink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, яку подають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юрособи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>. Робиться це за підсумками звітного року (пп. 133.1.4 ПК, пп. «г» п. 137.5 ПК); </w:t>
      </w:r>
    </w:p>
    <w:p w:rsidR="00833D3F" w:rsidRPr="00960792" w:rsidRDefault="00833D3F" w:rsidP="0096079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транспортний податок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; </w:t>
      </w:r>
    </w:p>
    <w:p w:rsidR="00833D3F" w:rsidRPr="00960792" w:rsidRDefault="00833D3F" w:rsidP="0096079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>акцизний податок; </w:t>
      </w:r>
    </w:p>
    <w:p w:rsidR="00833D3F" w:rsidRPr="00960792" w:rsidRDefault="00833D3F" w:rsidP="0096079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плата за землю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, у т.ч. </w:t>
      </w:r>
      <w:hyperlink r:id="rId12" w:tgtFrame="_blank" w:history="1">
        <w:r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земельний податок</w:t>
        </w:r>
      </w:hyperlink>
      <w:r w:rsidRPr="00960792">
        <w:rPr>
          <w:rFonts w:ascii="Bookman Old Style" w:eastAsia="Times New Roman" w:hAnsi="Bookman Old Style" w:cs="Times New Roman"/>
          <w:sz w:val="24"/>
          <w:szCs w:val="24"/>
        </w:rPr>
        <w:t>;</w:t>
      </w:r>
    </w:p>
    <w:p w:rsidR="00833D3F" w:rsidRPr="00960792" w:rsidRDefault="00313D11" w:rsidP="0096079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hyperlink r:id="rId13" w:tgtFrame="_blank" w:history="1">
        <w:r w:rsidR="00833D3F" w:rsidRPr="00960792">
          <w:rPr>
            <w:rFonts w:ascii="Bookman Old Style" w:eastAsia="Times New Roman" w:hAnsi="Bookman Old Style" w:cs="Times New Roman"/>
            <w:b/>
            <w:bCs/>
            <w:color w:val="0000FF"/>
            <w:sz w:val="24"/>
            <w:szCs w:val="24"/>
            <w:u w:val="single"/>
          </w:rPr>
          <w:t>податок на нерухомість</w:t>
        </w:r>
      </w:hyperlink>
      <w:r w:rsidR="00833D3F" w:rsidRPr="00960792">
        <w:rPr>
          <w:rFonts w:ascii="Bookman Old Style" w:eastAsia="Times New Roman" w:hAnsi="Bookman Old Style" w:cs="Times New Roman"/>
          <w:sz w:val="24"/>
          <w:szCs w:val="24"/>
        </w:rPr>
        <w:t> (податок на нерухоме майно, відмінне від земельної ділянки); </w:t>
      </w:r>
    </w:p>
    <w:p w:rsidR="00833D3F" w:rsidRPr="00960792" w:rsidRDefault="00313D11" w:rsidP="0096079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hyperlink r:id="rId14" w:tgtFrame="_blank" w:history="1">
        <w:r w:rsidR="00833D3F" w:rsidRPr="00960792">
          <w:rPr>
            <w:rFonts w:ascii="Bookman Old Style" w:eastAsia="Times New Roman" w:hAnsi="Bookman Old Style" w:cs="Times New Roman"/>
            <w:b/>
            <w:bCs/>
            <w:color w:val="0000FF"/>
            <w:sz w:val="24"/>
            <w:szCs w:val="24"/>
            <w:u w:val="single"/>
          </w:rPr>
          <w:t>екологічний податок</w:t>
        </w:r>
      </w:hyperlink>
      <w:r w:rsidR="00833D3F"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; </w:t>
      </w:r>
    </w:p>
    <w:p w:rsidR="00833D3F" w:rsidRPr="00960792" w:rsidRDefault="00313D11" w:rsidP="0096079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hyperlink r:id="rId15" w:tgtFrame="_blank" w:history="1">
        <w:r w:rsidR="00833D3F" w:rsidRPr="00960792">
          <w:rPr>
            <w:rFonts w:ascii="Bookman Old Style" w:eastAsia="Times New Roman" w:hAnsi="Bookman Old Style" w:cs="Times New Roman"/>
            <w:b/>
            <w:bCs/>
            <w:color w:val="0000FF"/>
            <w:sz w:val="24"/>
            <w:szCs w:val="24"/>
            <w:u w:val="single"/>
          </w:rPr>
          <w:t>рентна плата</w:t>
        </w:r>
      </w:hyperlink>
      <w:r w:rsidR="00833D3F" w:rsidRPr="00960792">
        <w:rPr>
          <w:rFonts w:ascii="Bookman Old Style" w:eastAsia="Times New Roman" w:hAnsi="Bookman Old Style" w:cs="Times New Roman"/>
          <w:sz w:val="24"/>
          <w:szCs w:val="24"/>
        </w:rPr>
        <w:t>; </w:t>
      </w:r>
    </w:p>
    <w:p w:rsidR="00833D3F" w:rsidRPr="00960792" w:rsidRDefault="00833D3F" w:rsidP="0096079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мито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, якщо здійснює операції імпорту-експорту; </w:t>
      </w:r>
    </w:p>
    <w:p w:rsidR="00833D3F" w:rsidRPr="00960792" w:rsidRDefault="00833D3F" w:rsidP="0096079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збір за паркування; </w:t>
      </w:r>
    </w:p>
    <w:p w:rsidR="00833D3F" w:rsidRPr="00960792" w:rsidRDefault="00313D11" w:rsidP="0096079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hyperlink r:id="rId16" w:tgtFrame="_blank" w:history="1">
        <w:r w:rsidR="00833D3F" w:rsidRPr="00960792">
          <w:rPr>
            <w:rFonts w:ascii="Bookman Old Style" w:eastAsia="Times New Roman" w:hAnsi="Bookman Old Style" w:cs="Times New Roman"/>
            <w:b/>
            <w:bCs/>
            <w:color w:val="0000FF"/>
            <w:sz w:val="24"/>
            <w:szCs w:val="24"/>
            <w:u w:val="single"/>
          </w:rPr>
          <w:t>туристичний збір</w:t>
        </w:r>
      </w:hyperlink>
      <w:r w:rsidR="00833D3F"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. 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center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Податкова звітність на загальній системі 2024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на загальній системі подає:</w:t>
      </w:r>
    </w:p>
    <w:p w:rsidR="00833D3F" w:rsidRPr="00960792" w:rsidRDefault="00833D3F" w:rsidP="0096079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«за себе»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– </w:t>
      </w:r>
      <w:hyperlink r:id="rId17" w:history="1">
        <w:r w:rsidRPr="00960792">
          <w:rPr>
            <w:rFonts w:ascii="Bookman Old Style" w:eastAsia="Times New Roman" w:hAnsi="Bookman Old Style" w:cs="Times New Roman"/>
            <w:b/>
            <w:bCs/>
            <w:color w:val="0000FF"/>
            <w:sz w:val="24"/>
            <w:szCs w:val="24"/>
            <w:u w:val="single"/>
          </w:rPr>
          <w:t>Податкову декларацію про майновий стан і доходи</w:t>
        </w:r>
      </w:hyperlink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. Вона містить дані про ПДФО і ЄСВ «за себе». Подається раз на рік. Її форма містить Додаток ЄСВ 1. Згідно з п.п.49.18.4, податкову декларацію потрібно подати за 2023 рік до 01.05.2024. Також з 2022 року, тим загальникам, які володіють або користуються сільськогосподарськими угіддями треба ще й розрахувати мінімальне податкове зобов’язання (МПЗ), тому у декларації з’явився новий Додаток МПЗ. А відповідно до </w:t>
      </w:r>
      <w:hyperlink r:id="rId18" w:tgtFrame="_blank" w:history="1">
        <w:r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Наказу Мінфіну від 28.08.2023 № 467</w:t>
        </w:r>
      </w:hyperlink>
      <w:r w:rsidRPr="00960792">
        <w:rPr>
          <w:rFonts w:ascii="Bookman Old Style" w:eastAsia="Times New Roman" w:hAnsi="Bookman Old Style" w:cs="Times New Roman"/>
          <w:sz w:val="24"/>
          <w:szCs w:val="24"/>
        </w:rPr>
        <w:t>, що набере чинності 30.12.0223, у декларації ця сума відображається у рядку «20.3»;</w:t>
      </w:r>
    </w:p>
    <w:p w:rsidR="00833D3F" w:rsidRPr="00960792" w:rsidRDefault="00833D3F" w:rsidP="0096079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по найманим працівникам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– </w:t>
      </w:r>
      <w:hyperlink r:id="rId19" w:history="1">
        <w:r w:rsidRPr="00960792">
          <w:rPr>
            <w:rFonts w:ascii="Bookman Old Style" w:eastAsia="Times New Roman" w:hAnsi="Bookman Old Style" w:cs="Times New Roman"/>
            <w:b/>
            <w:bCs/>
            <w:color w:val="0000FF"/>
            <w:sz w:val="24"/>
            <w:szCs w:val="24"/>
            <w:u w:val="single"/>
          </w:rPr>
          <w:t>Податковий розрахунок</w:t>
        </w:r>
      </w:hyperlink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r w:rsidRPr="00960792">
        <w:rPr>
          <w:rFonts w:ascii="Bookman Old Style" w:eastAsia="Times New Roman" w:hAnsi="Bookman Old Style" w:cs="Times New Roman"/>
          <w:i/>
          <w:iCs/>
          <w:sz w:val="24"/>
          <w:szCs w:val="24"/>
        </w:rPr>
        <w:t>він же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– 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об’єднана звітність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зарплатний звіт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). Подається щокварталу протягом 40 календарних днів після закінчення звітного кварталу.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Облік </w:t>
      </w:r>
      <w:proofErr w:type="spellStart"/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на загальній системі оподаткування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Облік у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ФОП-загальника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у </w:t>
      </w:r>
      <w:r w:rsidR="00960792">
        <w:rPr>
          <w:rFonts w:ascii="Bookman Old Style" w:eastAsia="Times New Roman" w:hAnsi="Bookman Old Style" w:cs="Times New Roman"/>
          <w:sz w:val="24"/>
          <w:szCs w:val="24"/>
        </w:rPr>
        <w:t>2024 році має такі особливості:</w:t>
      </w:r>
    </w:p>
    <w:p w:rsidR="00833D3F" w:rsidRPr="00960792" w:rsidRDefault="00833D3F" w:rsidP="0096079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>облік ведуть у спеціальній</w:t>
      </w:r>
      <w:r w:rsidR="0096079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Книзі обліку доходів і витрат</w:t>
      </w:r>
      <w:r w:rsidR="00960792">
        <w:rPr>
          <w:rFonts w:ascii="Bookman Old Style" w:eastAsia="Times New Roman" w:hAnsi="Bookman Old Style" w:cs="Times New Roman"/>
          <w:sz w:val="24"/>
          <w:szCs w:val="24"/>
        </w:rPr>
        <w:t>;</w:t>
      </w:r>
    </w:p>
    <w:p w:rsidR="00833D3F" w:rsidRPr="00960792" w:rsidRDefault="00833D3F" w:rsidP="0096079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дата виникнення доходу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– за надходженням грошей/іншої компенсації. Тобто датою визнання доходу у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є дата фактичного надходження компенсації (грошей, товарів за бартером)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 за відвантажені товари, виконані роботи (надані послуги). Це значить, що на дату підписання накладних або </w:t>
      </w:r>
      <w:hyperlink r:id="rId20" w:history="1">
        <w:r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актів приймання-передачі виконаних робіт</w:t>
        </w:r>
      </w:hyperlink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доходу у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</w:t>
      </w:r>
      <w:r w:rsidR="00960792">
        <w:rPr>
          <w:rFonts w:ascii="Bookman Old Style" w:eastAsia="Times New Roman" w:hAnsi="Bookman Old Style" w:cs="Times New Roman"/>
          <w:sz w:val="24"/>
          <w:szCs w:val="24"/>
        </w:rPr>
        <w:t>ОП</w:t>
      </w:r>
      <w:proofErr w:type="spellEnd"/>
      <w:r w:rsidR="00960792">
        <w:rPr>
          <w:rFonts w:ascii="Bookman Old Style" w:eastAsia="Times New Roman" w:hAnsi="Bookman Old Style" w:cs="Times New Roman"/>
          <w:sz w:val="24"/>
          <w:szCs w:val="24"/>
        </w:rPr>
        <w:t xml:space="preserve"> немає – поки не буде оплати;</w:t>
      </w:r>
    </w:p>
    <w:p w:rsidR="00833D3F" w:rsidRPr="00960792" w:rsidRDefault="00833D3F" w:rsidP="0096079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визнання витрат</w:t>
      </w:r>
      <w:r w:rsidR="0096079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потребує одночасного вик</w:t>
      </w:r>
      <w:r w:rsidR="00960792">
        <w:rPr>
          <w:rFonts w:ascii="Bookman Old Style" w:eastAsia="Times New Roman" w:hAnsi="Bookman Old Style" w:cs="Times New Roman"/>
          <w:sz w:val="24"/>
          <w:szCs w:val="24"/>
        </w:rPr>
        <w:t xml:space="preserve">онання 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чотирьох умов: 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документальне підтвердження + сплата + зв’язок з отриманням доходу + наявність у переліку дозволених витрат у </w:t>
      </w:r>
      <w:hyperlink r:id="rId21" w:anchor="Text" w:tgtFrame="_blank" w:history="1">
        <w:r w:rsidRPr="00960792">
          <w:rPr>
            <w:rFonts w:ascii="Bookman Old Style" w:eastAsia="Times New Roman" w:hAnsi="Bookman Old Style" w:cs="Times New Roman"/>
            <w:b/>
            <w:bCs/>
            <w:color w:val="0000FF"/>
            <w:sz w:val="24"/>
            <w:szCs w:val="24"/>
            <w:u w:val="single"/>
          </w:rPr>
          <w:t>п. 177.4 ПК</w:t>
        </w:r>
      </w:hyperlink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.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Тільки при дотриманні всіх цих вимог разом витрати можна визнати (!). У порівнянні з 2023 роком, склад таких витрат не змінився;</w:t>
      </w:r>
    </w:p>
    <w:p w:rsidR="00833D3F" w:rsidRPr="00960792" w:rsidRDefault="00960792" w:rsidP="0096079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НЕ </w:t>
      </w:r>
      <w:r w:rsidR="00833D3F"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визнаються витратами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поточний ремонт чи поліпшення </w:t>
      </w:r>
      <w:r w:rsidR="00833D3F" w:rsidRPr="00960792">
        <w:rPr>
          <w:rFonts w:ascii="Bookman Old Style" w:eastAsia="Times New Roman" w:hAnsi="Bookman Old Style" w:cs="Times New Roman"/>
          <w:sz w:val="24"/>
          <w:szCs w:val="24"/>
        </w:rPr>
        <w:t>основних засобів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833D3F"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подвійного призначення</w:t>
      </w:r>
      <w:r w:rsidR="00833D3F" w:rsidRPr="00960792">
        <w:rPr>
          <w:rFonts w:ascii="Bookman Old Style" w:eastAsia="Times New Roman" w:hAnsi="Bookman Old Style" w:cs="Times New Roman"/>
          <w:sz w:val="24"/>
          <w:szCs w:val="24"/>
        </w:rPr>
        <w:t>, по яким амортизація заборонена, наприклад легкових автомобілів</w:t>
      </w:r>
      <w:r>
        <w:rPr>
          <w:rFonts w:ascii="Bookman Old Style" w:eastAsia="Times New Roman" w:hAnsi="Bookman Old Style" w:cs="Times New Roman"/>
          <w:sz w:val="24"/>
          <w:szCs w:val="24"/>
        </w:rPr>
        <w:t>;</w:t>
      </w:r>
    </w:p>
    <w:p w:rsidR="00833D3F" w:rsidRPr="00960792" w:rsidRDefault="00833D3F" w:rsidP="0096079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lastRenderedPageBreak/>
        <w:t>НЕ визнаються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витратами</w:t>
      </w:r>
      <w:r w:rsidR="0096079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сплачені акцизний податок, податок на нерухомість у частині житлової нерухомості, сплачений ПДВ (у платників ПДВ), а також ПДФО та ВЗ «за себе» (пп. 177.4.3 ПК). Щодо ПДФО та військового збору з найманих працівників, то вони потрапляють до витрат у складі їх заробітної плати; </w:t>
      </w:r>
    </w:p>
    <w:p w:rsidR="00833D3F" w:rsidRPr="00960792" w:rsidRDefault="00833D3F" w:rsidP="0096079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до витрат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ФОП-загальника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включається 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ЄСВ «за себе»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, який він сплачує щокварталу, – 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за фактом сплати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 (роз’яснення ДПС 104.05 ЗІР). Також до витрат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потрапляє ЄСВ, який нараховується на зарплату найманих працівників;</w:t>
      </w:r>
    </w:p>
    <w:p w:rsidR="00833D3F" w:rsidRPr="00960792" w:rsidRDefault="00833D3F" w:rsidP="0096079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>до складу витрат також всі види 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податків на майно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, окрім податку на нерухомість, якщо вона житлова. Виходить, що можна включати податок на нерухомість з нежитлової нерухомості, плату за землю (земельний податок). Щодо цього – </w:t>
      </w:r>
      <w:r w:rsidRPr="00960792">
        <w:rPr>
          <w:rFonts w:ascii="Bookman Old Style" w:eastAsia="Times New Roman" w:hAnsi="Bookman Old Style" w:cs="Times New Roman"/>
          <w:i/>
          <w:iCs/>
          <w:sz w:val="24"/>
          <w:szCs w:val="24"/>
        </w:rPr>
        <w:t>див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. пп. 177.4.3 ПК.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color w:val="800000"/>
          <w:sz w:val="24"/>
          <w:szCs w:val="24"/>
        </w:rPr>
        <w:t>Увага:</w:t>
      </w:r>
      <w:r w:rsidRPr="00960792">
        <w:rPr>
          <w:rFonts w:ascii="Bookman Old Style" w:eastAsia="Times New Roman" w:hAnsi="Bookman Old Style" w:cs="Times New Roman"/>
          <w:color w:val="800000"/>
          <w:sz w:val="24"/>
          <w:szCs w:val="24"/>
        </w:rPr>
        <w:t> 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податок на майно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може включати до витрат, окрім податку з житлової нерухомості.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>Щодо 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транспортного податку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– він теж належить до податку на майно, але сплачується з дорогих легкових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автівок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>, які вряд чи можна пов’язати з господарською діяльністю. Тому його не можна включати до витрат через відсутність зв’язку з господарською діяльністю.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>Приклади застосування цих правил обліку доходів і витрат: </w:t>
      </w:r>
    </w:p>
    <w:p w:rsidR="00833D3F" w:rsidRPr="00960792" w:rsidRDefault="00833D3F" w:rsidP="00960792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у грудні 2023 року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отримав аванс, але товари відвантажив у січні 2024 року. Дохід визнається груднем 2023 року. І в цьому ж місяці може визнати витрати – собівартість реалізованих товарів за умови, що вони їм були раніше сплачені та мають документальне підтвердження; </w:t>
      </w:r>
    </w:p>
    <w:p w:rsidR="00833D3F" w:rsidRPr="00960792" w:rsidRDefault="00833D3F" w:rsidP="00960792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у грудні 2023 року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відвантажив товари, але оплату отримав за них у січні 2024 року. Дохід він визнає у січні 2024 року. І в цьому ж місяці може визнати витрати – собівартість реалізованих товарів за умови, що вони їм були раніше сплачені та мають документальне підтвердження.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proofErr w:type="spellStart"/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на загальній системі оподаткування книга обліку доходів та витрат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Насьогодні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Книга обліку доходів і витрат ведеться за типовою формою, яка затверджена </w:t>
      </w:r>
      <w:hyperlink r:id="rId22" w:anchor="Text" w:tgtFrame="_blank" w:history="1">
        <w:r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наказом Мінфіну від 13.05.2021 № 261</w:t>
        </w:r>
      </w:hyperlink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r w:rsidRPr="00960792">
        <w:rPr>
          <w:rFonts w:ascii="Bookman Old Style" w:eastAsia="Times New Roman" w:hAnsi="Bookman Old Style" w:cs="Times New Roman"/>
          <w:i/>
          <w:iCs/>
          <w:sz w:val="24"/>
          <w:szCs w:val="24"/>
        </w:rPr>
        <w:t>далі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– 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Наказ № 261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). Цим же наказом затверджений і Порядок ведення даної Книги. Реєструвати Книгу не потрібно. Законодавством допускається ведення Книги не тільки у паперовій, але й у електронній формі (п. 177.10 ПК), наприклад у Excel. Можливості ж ведення Книги обліку у електронному кабінеті податківці так і не створили.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>Зверніть увагу, що брошурувати, шнурувати, роздруковувати чи використовувати електронний підпис при веденні Книги облік</w:t>
      </w:r>
      <w:r w:rsidR="00960792">
        <w:rPr>
          <w:rFonts w:ascii="Bookman Old Style" w:eastAsia="Times New Roman" w:hAnsi="Bookman Old Style" w:cs="Times New Roman"/>
          <w:sz w:val="24"/>
          <w:szCs w:val="24"/>
        </w:rPr>
        <w:t>у доходів і витрат не потрібно.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>Тепер детальніше про</w:t>
      </w:r>
      <w:r w:rsidR="0096079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витрати на амортизацію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придбаних основних засобів.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Амортизація у </w:t>
      </w:r>
      <w:proofErr w:type="spellStart"/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на загальній системі 2024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lastRenderedPageBreak/>
        <w:t>ФОП-загальники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можуть у витратах визнавати </w:t>
      </w:r>
      <w:hyperlink r:id="rId23" w:tgtFrame="_blank" w:history="1">
        <w:r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амортизацію основних засобів</w:t>
        </w:r>
      </w:hyperlink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(ОЗ) і нематеріальних активів (строки корисного використання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встановлює відповідно до пп. 177.4.9 ПК, метод амортизації – лише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прямолінійний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). 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Амортизація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 – це поступове віднесення їхньої вартості на витрати. Одразу включити вартість придбаних ОЗ до складу витрат – не можна. Облік амортизації у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ФОП-загальника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> ведеться за тими ж правилами, що й у </w:t>
      </w:r>
      <w:hyperlink r:id="rId24" w:anchor="Text" w:tgtFrame="_blank" w:history="1">
        <w:r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НП(С)БО 7 «Основні засоби»</w:t>
        </w:r>
      </w:hyperlink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(лист ДФС від 25.07.2017 № 16192/6/99-99-13-01-02-15).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Зверніть увагу, що за податковим законодавством ОЗ вважаються об’єкти зі строком служби 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1 рік та більше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та вартістю 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понад 20 тис. грн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. Якщо ж ОЗ не потрапили в цю межу, то маємо справу з малоцінними необоротними матеріальними активами 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(МНМА)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, які можна одразу віднести на витрати (роз’яснення ДПС 104.05 ЗІР, також пп. 177.4.1 ПК). Наприклад, придбаний перфоратор за 9600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грн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або електродриль за 5500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грн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r w:rsidRPr="00960792">
        <w:rPr>
          <w:rFonts w:ascii="Times New Roman" w:eastAsia="Times New Roman" w:hAnsi="Times New Roman" w:cs="Times New Roman"/>
          <w:sz w:val="24"/>
          <w:szCs w:val="24"/>
        </w:rPr>
        <w:t>˂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20000 тис.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грн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>). 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color w:val="800000"/>
          <w:sz w:val="24"/>
          <w:szCs w:val="24"/>
        </w:rPr>
        <w:t>Увага: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може поступово віднести на витрати вартість обладнання та інших ОЗ шляхом амортизації. Якщо ж їхня вартість не перевищує 20000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грн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>, то взагалі можна їх одразу визнати витратами.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Основні правила обліку амортизації для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ФОП-загальника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такі: </w:t>
      </w:r>
    </w:p>
    <w:p w:rsidR="00833D3F" w:rsidRPr="00960792" w:rsidRDefault="00833D3F" w:rsidP="00960792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>визнання витрат на амортизацію здійснюється щомісяця, а починає нараховуватися з 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місяця наступного за місяцем введення об’єкта в експлуатацію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 (п. 29 НП(С)БО 7 «Основні засоби» та згадані роз’яснення податківців); </w:t>
      </w:r>
    </w:p>
    <w:p w:rsidR="00833D3F" w:rsidRPr="00960792" w:rsidRDefault="00833D3F" w:rsidP="00960792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місяць придбання та місяць введення в експлуатацію також можуть відрізнятися, тому введення в експлуатацію необхідно оформити документально. Це можуть бути 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акт введення в експлуатацію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або ж 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наказ про введення в експлуатацію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може їх скласти у довільній формі або використати готові бланки від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юросіб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>, наприклад з </w:t>
      </w:r>
      <w:hyperlink r:id="rId25" w:anchor="Text" w:tgtFrame="_blank" w:history="1">
        <w:r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наказу Мінфіну від 10.03.2016 № 818</w:t>
        </w:r>
      </w:hyperlink>
      <w:r w:rsidRPr="00960792">
        <w:rPr>
          <w:rFonts w:ascii="Bookman Old Style" w:eastAsia="Times New Roman" w:hAnsi="Bookman Old Style" w:cs="Times New Roman"/>
          <w:sz w:val="24"/>
          <w:szCs w:val="24"/>
        </w:rPr>
        <w:t>; </w:t>
      </w:r>
    </w:p>
    <w:p w:rsidR="00833D3F" w:rsidRPr="00960792" w:rsidRDefault="00833D3F" w:rsidP="00960792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НЕ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 підлягають амортизації 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ОЗ подвійного призначення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: земельні ділянки, об’єкти житлової нерухомості, легкові автомобілі. Можна також амортизувати вантажні автомобілі. Однак легкову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автівку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насьогодні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ФОП-загальник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не може амортизувати навіть за умови, що він використовує її виключно у підприємницькій діяльності; </w:t>
      </w:r>
    </w:p>
    <w:p w:rsidR="00833D3F" w:rsidRPr="00960792" w:rsidRDefault="00833D3F" w:rsidP="00960792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для тих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>, які використовують стандартну Книгу обліку доходів і витрат амортизація – це 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графа 8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; </w:t>
      </w:r>
    </w:p>
    <w:p w:rsidR="00833D3F" w:rsidRPr="00960792" w:rsidRDefault="00833D3F" w:rsidP="00960792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>якщо здійснюються витрати на 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реконструкцію, модернізацію та інші види поліпшення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 вантажних чи інших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нелегкових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автомобілів, у т.ч. спецтехніки, то їх усі, окрім поточного ремонту слід відносити на збільшення вартості автомобіля та далі амортизувати, а не включати до складу поточних витрат (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абз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>. 3-й пп. 177.4.6 ПК). 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color w:val="740C1F"/>
          <w:sz w:val="24"/>
          <w:szCs w:val="24"/>
        </w:rPr>
        <w:t>Увага:</w:t>
      </w:r>
      <w:r w:rsidRPr="00960792">
        <w:rPr>
          <w:rFonts w:ascii="Bookman Old Style" w:eastAsia="Times New Roman" w:hAnsi="Bookman Old Style" w:cs="Times New Roman"/>
          <w:color w:val="740C1F"/>
          <w:sz w:val="24"/>
          <w:szCs w:val="24"/>
        </w:rPr>
        <w:t> 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ФОП-загальникам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можна амортизувати вантажні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автівки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та спецтехніку.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Розрізняють легкові та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нелегкові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автомобілі на основі </w:t>
      </w:r>
      <w:hyperlink r:id="rId26" w:anchor="Text" w:tgtFrame="_blank" w:history="1">
        <w:r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Закону «Про автомобільний транспорт» від 05.04.2001 № 2344</w:t>
        </w:r>
      </w:hyperlink>
      <w:r w:rsidRPr="00960792">
        <w:rPr>
          <w:rFonts w:ascii="Bookman Old Style" w:eastAsia="Times New Roman" w:hAnsi="Bookman Old Style" w:cs="Times New Roman"/>
          <w:sz w:val="24"/>
          <w:szCs w:val="24"/>
        </w:rPr>
        <w:t>. Легковий призначений для перевезення пасажирів з кількістю місць для 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сидіння не більше ніж 9 з місцем водія включно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. Отже, якщо за технічною документацією у автомобіля 10 місць, то його уже можна амортизувати, так як він не є 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lastRenderedPageBreak/>
        <w:t>легковим (мова йде про «мікроавтобуси»). Зверніть увагу, що Закон від 24.02.2023 вводить визначення електричних автомобілів, у т.ч. вантажного, тож їх теж можна амортизувати.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Приклади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 застосування наведених правил амортизації: </w:t>
      </w:r>
    </w:p>
    <w:p w:rsidR="00833D3F" w:rsidRPr="00960792" w:rsidRDefault="00833D3F" w:rsidP="00960792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придбав обладнання у лютому 2024 року, а у березні 2024 року ввів його в експлуатацію. Першим місяцем нарахування амортизації буде саме березень 2024 року і у цьому ж місяці він має занести її суму до своєї Книги обліку доходів і витрат; </w:t>
      </w:r>
    </w:p>
    <w:p w:rsidR="00833D3F" w:rsidRPr="00960792" w:rsidRDefault="00833D3F" w:rsidP="00960792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має легковий автомобіль і 3 вантажних. Амортизувати можна лише вантажні; </w:t>
      </w:r>
    </w:p>
    <w:p w:rsidR="00833D3F" w:rsidRPr="00960792" w:rsidRDefault="00833D3F" w:rsidP="00960792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придбав обладнання – 6 перфораторів загальною вартістю 24000 грн. Кожний з них можна віднести на витрати, так як один перфоратор коштує 4000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грн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>, що менше за межу МНМА/ОЗ – 20000 грн.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Податковий кредит з ПДВ на вантажівки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>Дозвіл амортизувати вантажні автомобілі означає ще й можливість мати 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податковий кредит 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на суму ПДВ, сплачену при придбанні вантажних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автівок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>, так як тепер їх можна пов’язати з господарською діяльністю. 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Сплата ЄСВ </w:t>
      </w:r>
      <w:proofErr w:type="spellStart"/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на загальній системі оподаткування 2024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>Зміни в цілому пов’язані зі зміною </w:t>
      </w:r>
      <w:hyperlink r:id="rId27" w:tgtFrame="_blank" w:history="1">
        <w:r w:rsidRPr="00960792">
          <w:rPr>
            <w:rFonts w:ascii="Bookman Old Style" w:eastAsia="Times New Roman" w:hAnsi="Bookman Old Style" w:cs="Times New Roman"/>
            <w:b/>
            <w:bCs/>
            <w:color w:val="0000FF"/>
            <w:sz w:val="24"/>
            <w:szCs w:val="24"/>
            <w:u w:val="single"/>
          </w:rPr>
          <w:t>мінімальної заробітної плати</w:t>
        </w:r>
      </w:hyperlink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, яка з 01.01.2024 становитиме 7100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грн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, а з 01.04.2024 – 8000 грн. Як наслідок, це впливає на мінімальний та максимальний розміри ЄСВ. Однак з березня 2022 року та 12 місяців після закінчення воєнного стану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мають право не сплачувати ЄСВ. Довідкова інформація про ЄСВ для 2024 року наведена у </w:t>
      </w:r>
      <w:r w:rsidRPr="00960792">
        <w:rPr>
          <w:rFonts w:ascii="Bookman Old Style" w:eastAsia="Times New Roman" w:hAnsi="Bookman Old Style" w:cs="Times New Roman"/>
          <w:i/>
          <w:iCs/>
          <w:sz w:val="24"/>
          <w:szCs w:val="24"/>
        </w:rPr>
        <w:t>таблиці нижче.</w:t>
      </w:r>
    </w:p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66"/>
        <w:gridCol w:w="6392"/>
      </w:tblGrid>
      <w:tr w:rsidR="00833D3F" w:rsidRPr="00960792" w:rsidTr="00833D3F">
        <w:trPr>
          <w:trHeight w:val="113"/>
        </w:trPr>
        <w:tc>
          <w:tcPr>
            <w:tcW w:w="50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:rsidR="00833D3F" w:rsidRPr="00960792" w:rsidRDefault="00833D3F" w:rsidP="00960792">
            <w:pPr>
              <w:spacing w:after="0" w:line="240" w:lineRule="auto"/>
              <w:ind w:firstLine="284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960792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  <w:t>ЄСВ У ФОП-ЗАГАЛЬНИКА 2024</w:t>
            </w:r>
          </w:p>
        </w:tc>
      </w:tr>
      <w:tr w:rsidR="00833D3F" w:rsidRPr="00960792" w:rsidTr="00833D3F">
        <w:trPr>
          <w:trHeight w:val="282"/>
        </w:trPr>
        <w:tc>
          <w:tcPr>
            <w:tcW w:w="165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:rsidR="00833D3F" w:rsidRPr="00960792" w:rsidRDefault="00833D3F" w:rsidP="00960792">
            <w:pPr>
              <w:spacing w:after="0" w:line="240" w:lineRule="auto"/>
              <w:ind w:firstLine="284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960792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  <w:t>Критерії</w:t>
            </w:r>
          </w:p>
        </w:tc>
        <w:tc>
          <w:tcPr>
            <w:tcW w:w="334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:rsidR="00833D3F" w:rsidRPr="00960792" w:rsidRDefault="00833D3F" w:rsidP="00960792">
            <w:pPr>
              <w:spacing w:after="0" w:line="240" w:lineRule="auto"/>
              <w:ind w:firstLine="284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960792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  <w:t>Загальна система оподаткування</w:t>
            </w:r>
          </w:p>
        </w:tc>
      </w:tr>
      <w:tr w:rsidR="00833D3F" w:rsidRPr="00960792" w:rsidTr="00833D3F">
        <w:trPr>
          <w:trHeight w:val="2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D3F" w:rsidRPr="00960792" w:rsidRDefault="00833D3F" w:rsidP="00960792">
            <w:pPr>
              <w:spacing w:after="0" w:line="240" w:lineRule="auto"/>
              <w:ind w:firstLine="284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D3F" w:rsidRPr="00960792" w:rsidRDefault="00833D3F" w:rsidP="00960792">
            <w:pPr>
              <w:spacing w:after="0" w:line="240" w:lineRule="auto"/>
              <w:ind w:firstLine="284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</w:tr>
      <w:tr w:rsidR="00833D3F" w:rsidRPr="00960792" w:rsidTr="00833D3F">
        <w:trPr>
          <w:trHeight w:val="188"/>
        </w:trPr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D3F" w:rsidRPr="00960792" w:rsidRDefault="00833D3F" w:rsidP="00960792">
            <w:pPr>
              <w:spacing w:after="0" w:line="240" w:lineRule="auto"/>
              <w:ind w:firstLine="284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960792">
              <w:rPr>
                <w:rFonts w:ascii="Bookman Old Style" w:eastAsia="Times New Roman" w:hAnsi="Bookman Old Style" w:cs="Times New Roman"/>
                <w:sz w:val="18"/>
                <w:szCs w:val="18"/>
              </w:rPr>
              <w:t>база розрахунку та сплати ЄСВ</w:t>
            </w:r>
          </w:p>
        </w:tc>
        <w:tc>
          <w:tcPr>
            <w:tcW w:w="3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D3F" w:rsidRPr="00960792" w:rsidRDefault="00833D3F" w:rsidP="00960792">
            <w:pPr>
              <w:spacing w:after="0" w:line="240" w:lineRule="auto"/>
              <w:ind w:firstLine="284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960792">
              <w:rPr>
                <w:rFonts w:ascii="Bookman Old Style" w:eastAsia="Times New Roman" w:hAnsi="Bookman Old Style" w:cs="Times New Roman"/>
                <w:sz w:val="18"/>
                <w:szCs w:val="18"/>
              </w:rPr>
              <w:t>чистий оподатковуваний дохід (прибуток) × 0,22</w:t>
            </w:r>
          </w:p>
        </w:tc>
      </w:tr>
      <w:tr w:rsidR="00833D3F" w:rsidRPr="00960792" w:rsidTr="00833D3F">
        <w:trPr>
          <w:trHeight w:val="377"/>
        </w:trPr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D3F" w:rsidRPr="00960792" w:rsidRDefault="00833D3F" w:rsidP="00960792">
            <w:pPr>
              <w:spacing w:after="0" w:line="240" w:lineRule="auto"/>
              <w:ind w:firstLine="284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960792">
              <w:rPr>
                <w:rFonts w:ascii="Bookman Old Style" w:eastAsia="Times New Roman" w:hAnsi="Bookman Old Style" w:cs="Times New Roman"/>
                <w:sz w:val="18"/>
                <w:szCs w:val="18"/>
              </w:rPr>
              <w:t>мінімальний розмір ЄСВ</w:t>
            </w:r>
          </w:p>
        </w:tc>
        <w:tc>
          <w:tcPr>
            <w:tcW w:w="3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D3F" w:rsidRPr="00960792" w:rsidRDefault="00833D3F" w:rsidP="00960792">
            <w:pPr>
              <w:spacing w:after="0" w:line="240" w:lineRule="auto"/>
              <w:ind w:firstLine="284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960792">
              <w:rPr>
                <w:rFonts w:ascii="Bookman Old Style" w:eastAsia="Times New Roman" w:hAnsi="Bookman Old Style" w:cs="Times New Roman"/>
                <w:sz w:val="18"/>
                <w:szCs w:val="18"/>
              </w:rPr>
              <w:t>мінімальна зарплата за місяць × 0,22</w:t>
            </w:r>
          </w:p>
          <w:p w:rsidR="00833D3F" w:rsidRPr="00960792" w:rsidRDefault="00833D3F" w:rsidP="00960792">
            <w:pPr>
              <w:spacing w:after="0" w:line="240" w:lineRule="auto"/>
              <w:ind w:firstLine="284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960792">
              <w:rPr>
                <w:rFonts w:ascii="Bookman Old Style" w:eastAsia="Times New Roman" w:hAnsi="Bookman Old Style" w:cs="Times New Roman"/>
                <w:sz w:val="18"/>
                <w:szCs w:val="18"/>
              </w:rPr>
              <w:t xml:space="preserve">(з 01.01.2024 – 1562 </w:t>
            </w:r>
            <w:proofErr w:type="spellStart"/>
            <w:r w:rsidRPr="00960792">
              <w:rPr>
                <w:rFonts w:ascii="Bookman Old Style" w:eastAsia="Times New Roman" w:hAnsi="Bookman Old Style" w:cs="Times New Roman"/>
                <w:sz w:val="18"/>
                <w:szCs w:val="18"/>
              </w:rPr>
              <w:t>грн</w:t>
            </w:r>
            <w:proofErr w:type="spellEnd"/>
            <w:r w:rsidRPr="00960792">
              <w:rPr>
                <w:rFonts w:ascii="Bookman Old Style" w:eastAsia="Times New Roman" w:hAnsi="Bookman Old Style" w:cs="Times New Roman"/>
                <w:sz w:val="18"/>
                <w:szCs w:val="18"/>
              </w:rPr>
              <w:t xml:space="preserve">, з 01.04.2024 – 1760 </w:t>
            </w:r>
            <w:proofErr w:type="spellStart"/>
            <w:r w:rsidRPr="00960792">
              <w:rPr>
                <w:rFonts w:ascii="Bookman Old Style" w:eastAsia="Times New Roman" w:hAnsi="Bookman Old Style" w:cs="Times New Roman"/>
                <w:sz w:val="18"/>
                <w:szCs w:val="18"/>
              </w:rPr>
              <w:t>грн</w:t>
            </w:r>
            <w:proofErr w:type="spellEnd"/>
            <w:r w:rsidRPr="00960792">
              <w:rPr>
                <w:rFonts w:ascii="Bookman Old Style" w:eastAsia="Times New Roman" w:hAnsi="Bookman Old Style" w:cs="Times New Roman"/>
                <w:sz w:val="18"/>
                <w:szCs w:val="18"/>
              </w:rPr>
              <w:t>)</w:t>
            </w:r>
          </w:p>
        </w:tc>
      </w:tr>
      <w:tr w:rsidR="00833D3F" w:rsidRPr="00960792" w:rsidTr="00833D3F">
        <w:trPr>
          <w:trHeight w:val="377"/>
        </w:trPr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D3F" w:rsidRPr="00960792" w:rsidRDefault="00833D3F" w:rsidP="00960792">
            <w:pPr>
              <w:spacing w:after="0" w:line="240" w:lineRule="auto"/>
              <w:ind w:firstLine="284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960792">
              <w:rPr>
                <w:rFonts w:ascii="Bookman Old Style" w:eastAsia="Times New Roman" w:hAnsi="Bookman Old Style" w:cs="Times New Roman"/>
                <w:sz w:val="18"/>
                <w:szCs w:val="18"/>
              </w:rPr>
              <w:t>максимальний розмір ЄСВ</w:t>
            </w:r>
          </w:p>
        </w:tc>
        <w:tc>
          <w:tcPr>
            <w:tcW w:w="3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D3F" w:rsidRPr="00960792" w:rsidRDefault="00833D3F" w:rsidP="00960792">
            <w:pPr>
              <w:spacing w:after="0" w:line="240" w:lineRule="auto"/>
              <w:ind w:firstLine="284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960792">
              <w:rPr>
                <w:rFonts w:ascii="Bookman Old Style" w:eastAsia="Times New Roman" w:hAnsi="Bookman Old Style" w:cs="Times New Roman"/>
                <w:sz w:val="18"/>
                <w:szCs w:val="18"/>
              </w:rPr>
              <w:t>15 × Мінімальна зарплата × 0,22</w:t>
            </w:r>
          </w:p>
          <w:p w:rsidR="00833D3F" w:rsidRPr="00960792" w:rsidRDefault="00833D3F" w:rsidP="00960792">
            <w:pPr>
              <w:spacing w:after="0" w:line="240" w:lineRule="auto"/>
              <w:ind w:firstLine="284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960792">
              <w:rPr>
                <w:rFonts w:ascii="Bookman Old Style" w:eastAsia="Times New Roman" w:hAnsi="Bookman Old Style" w:cs="Times New Roman"/>
                <w:sz w:val="18"/>
                <w:szCs w:val="18"/>
              </w:rPr>
              <w:t xml:space="preserve">(з 01.01.2024 – 23430 </w:t>
            </w:r>
            <w:proofErr w:type="spellStart"/>
            <w:r w:rsidRPr="00960792">
              <w:rPr>
                <w:rFonts w:ascii="Bookman Old Style" w:eastAsia="Times New Roman" w:hAnsi="Bookman Old Style" w:cs="Times New Roman"/>
                <w:sz w:val="18"/>
                <w:szCs w:val="18"/>
              </w:rPr>
              <w:t>грн</w:t>
            </w:r>
            <w:proofErr w:type="spellEnd"/>
            <w:r w:rsidRPr="00960792">
              <w:rPr>
                <w:rFonts w:ascii="Bookman Old Style" w:eastAsia="Times New Roman" w:hAnsi="Bookman Old Style" w:cs="Times New Roman"/>
                <w:sz w:val="18"/>
                <w:szCs w:val="18"/>
              </w:rPr>
              <w:t xml:space="preserve">, з 01.04.2024 – 26400 </w:t>
            </w:r>
            <w:proofErr w:type="spellStart"/>
            <w:r w:rsidRPr="00960792">
              <w:rPr>
                <w:rFonts w:ascii="Bookman Old Style" w:eastAsia="Times New Roman" w:hAnsi="Bookman Old Style" w:cs="Times New Roman"/>
                <w:sz w:val="18"/>
                <w:szCs w:val="18"/>
              </w:rPr>
              <w:t>грн</w:t>
            </w:r>
            <w:proofErr w:type="spellEnd"/>
            <w:r w:rsidRPr="00960792">
              <w:rPr>
                <w:rFonts w:ascii="Bookman Old Style" w:eastAsia="Times New Roman" w:hAnsi="Bookman Old Style" w:cs="Times New Roman"/>
                <w:sz w:val="18"/>
                <w:szCs w:val="18"/>
              </w:rPr>
              <w:t>)</w:t>
            </w:r>
          </w:p>
        </w:tc>
      </w:tr>
      <w:tr w:rsidR="00833D3F" w:rsidRPr="00960792" w:rsidTr="00833D3F">
        <w:trPr>
          <w:trHeight w:val="188"/>
        </w:trPr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D3F" w:rsidRPr="00960792" w:rsidRDefault="00833D3F" w:rsidP="00960792">
            <w:pPr>
              <w:spacing w:after="0" w:line="240" w:lineRule="auto"/>
              <w:ind w:firstLine="284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960792">
              <w:rPr>
                <w:rFonts w:ascii="Bookman Old Style" w:eastAsia="Times New Roman" w:hAnsi="Bookman Old Style" w:cs="Times New Roman"/>
                <w:sz w:val="18"/>
                <w:szCs w:val="18"/>
              </w:rPr>
              <w:t>звітність з ЄСВ</w:t>
            </w:r>
          </w:p>
        </w:tc>
        <w:tc>
          <w:tcPr>
            <w:tcW w:w="3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3D3F" w:rsidRPr="00960792" w:rsidRDefault="00833D3F" w:rsidP="00960792">
            <w:pPr>
              <w:spacing w:after="0" w:line="240" w:lineRule="auto"/>
              <w:ind w:firstLine="284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960792">
              <w:rPr>
                <w:rFonts w:ascii="Bookman Old Style" w:eastAsia="Times New Roman" w:hAnsi="Bookman Old Style" w:cs="Times New Roman"/>
                <w:sz w:val="18"/>
                <w:szCs w:val="18"/>
              </w:rPr>
              <w:t>Додаток ЄСВ 1 у складі Податкової декларації про майновий стан і доходи</w:t>
            </w:r>
          </w:p>
        </w:tc>
      </w:tr>
    </w:tbl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Звітність </w:t>
      </w:r>
      <w:proofErr w:type="spellStart"/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на загальній системі оподаткування та строки сплати податків</w:t>
      </w:r>
    </w:p>
    <w:p w:rsidR="00833D3F" w:rsidRPr="00960792" w:rsidRDefault="00313D11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hyperlink r:id="rId28" w:history="1">
        <w:r w:rsidR="00833D3F" w:rsidRPr="00960792">
          <w:rPr>
            <w:rFonts w:ascii="Bookman Old Style" w:eastAsia="Times New Roman" w:hAnsi="Bookman Old Style" w:cs="Times New Roman"/>
            <w:b/>
            <w:bCs/>
            <w:color w:val="0000FF"/>
            <w:sz w:val="24"/>
            <w:szCs w:val="24"/>
            <w:u w:val="single"/>
          </w:rPr>
          <w:t>ПДФО</w:t>
        </w:r>
      </w:hyperlink>
      <w:r w:rsidR="00833D3F"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«за себе».</w:t>
      </w:r>
      <w:r w:rsidR="00833D3F"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Сума оподатковуваного прибутку </w:t>
      </w:r>
      <w:proofErr w:type="spellStart"/>
      <w:r w:rsidR="00833D3F"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="00833D3F"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визначається за результатами календарного року. Однак сплата ПДФО й надалі відбувається у вигляді авансових платежів.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Авансові платежі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розраховує самостійно на підставі фактичних даних, які існують в Книзі обліку доходів і витрат за підсумками кварталу. Сплату здійснюють 20-го числа місяця наступного за кожним календарним кварталом, окрім 4 кварталу. За останній 4-й квартал авансовий платіж з 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lastRenderedPageBreak/>
        <w:t>ПДФО не розраховують та не сплачують, так як сплачується загальна сума податку за рік з урахуванням уже сплачених авансових платежів.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З 2023 року Податкова декларація про майновий стан і доходи подається не впродовж 40 к. днів з кінця року, як раніше, а 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до 01 травня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hyperlink r:id="rId29" w:anchor="Text" w:tgtFrame="_blank" w:history="1">
        <w:r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Закон від 15.08.2022 № 2520</w:t>
        </w:r>
      </w:hyperlink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; </w:t>
      </w:r>
      <w:r w:rsidRPr="00960792">
        <w:rPr>
          <w:rFonts w:ascii="Bookman Old Style" w:eastAsia="Times New Roman" w:hAnsi="Bookman Old Style" w:cs="Times New Roman"/>
          <w:i/>
          <w:iCs/>
          <w:sz w:val="24"/>
          <w:szCs w:val="24"/>
        </w:rPr>
        <w:t>читайте також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hyperlink r:id="rId30" w:tgtFrame="_blank" w:history="1">
        <w:r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роз’яснення ГУ ДПС у Волинській області</w:t>
        </w:r>
      </w:hyperlink>
      <w:r w:rsidRPr="00960792">
        <w:rPr>
          <w:rFonts w:ascii="Bookman Old Style" w:eastAsia="Times New Roman" w:hAnsi="Bookman Old Style" w:cs="Times New Roman"/>
          <w:sz w:val="24"/>
          <w:szCs w:val="24"/>
        </w:rPr>
        <w:t>).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Так, у 2024 ПДФО «за себе» для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> треба сплатити: </w:t>
      </w:r>
    </w:p>
    <w:p w:rsidR="00833D3F" w:rsidRPr="00960792" w:rsidRDefault="00833D3F" w:rsidP="00960792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до 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20 квітня 2024 р. – за І квартал 2024; </w:t>
      </w:r>
    </w:p>
    <w:p w:rsidR="00833D3F" w:rsidRPr="00960792" w:rsidRDefault="00833D3F" w:rsidP="00960792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до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20 липня 2024 р. – за ІІ квартал 2024; </w:t>
      </w:r>
    </w:p>
    <w:p w:rsidR="00833D3F" w:rsidRPr="00960792" w:rsidRDefault="00833D3F" w:rsidP="00960792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до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22 жовтня 2024 р. – за ІІІ квартал 2024.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ВЗ «за себе». 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Військовий збір сплачується тільки один раз, за підсумками року. Сплачується разом з ПДФО.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ЄСВ «за себе».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 </w:t>
      </w:r>
      <w:hyperlink r:id="rId31" w:history="1">
        <w:r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 xml:space="preserve">Всі </w:t>
        </w:r>
        <w:proofErr w:type="spellStart"/>
        <w:r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ФОП</w:t>
        </w:r>
        <w:proofErr w:type="spellEnd"/>
        <w:r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, у т.ч. й на загальній системі, зобов'язані сплачувати ЄСВ</w:t>
        </w:r>
      </w:hyperlink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 до 20-го числа місяця, наступного за звітним кварталом. 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Це значить, що у 2023 р. такий графік сплати ЄСВ для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>: </w:t>
      </w:r>
    </w:p>
    <w:p w:rsidR="00833D3F" w:rsidRPr="00960792" w:rsidRDefault="00833D3F" w:rsidP="00960792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>до 20 квітня 2023 р. – за І квартал 2023 р.; </w:t>
      </w:r>
    </w:p>
    <w:p w:rsidR="00833D3F" w:rsidRPr="00960792" w:rsidRDefault="00833D3F" w:rsidP="00960792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>до 20 липня 2023 р. – за ІІ квартал 2023 р.; </w:t>
      </w:r>
    </w:p>
    <w:p w:rsidR="00833D3F" w:rsidRPr="00960792" w:rsidRDefault="00833D3F" w:rsidP="00960792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>до 20 жовтня 2023 р. – за ІІІ квартал 2023 р; </w:t>
      </w:r>
    </w:p>
    <w:p w:rsidR="00833D3F" w:rsidRPr="00960792" w:rsidRDefault="00833D3F" w:rsidP="00960792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>до 22 січня 2024 р. – за IV квартал 2023 р. (крайній дата – 20 січня 2024 р. припадає на суботу).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>Якщо крайній день припадає на вихідний, то він переноситься на найближчий за ним робочий день. 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>Щодо ПДФО, ВЗ та ЄСВ, які стосуються найманих працівників, то сплачуються вони у стандартному порядку, тобто в момент виплати заробітної плати.</w:t>
      </w:r>
    </w:p>
    <w:p w:rsidR="00833D3F" w:rsidRPr="00960792" w:rsidRDefault="00313D11" w:rsidP="00960792">
      <w:pPr>
        <w:spacing w:after="0" w:line="240" w:lineRule="auto"/>
        <w:ind w:firstLine="284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hyperlink r:id="rId32" w:tgtFrame="_blank" w:history="1">
        <w:r w:rsidR="00833D3F"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 xml:space="preserve">Перехід </w:t>
        </w:r>
        <w:proofErr w:type="spellStart"/>
        <w:r w:rsidR="00833D3F"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юрособи</w:t>
        </w:r>
        <w:proofErr w:type="spellEnd"/>
        <w:r w:rsidR="00833D3F"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 xml:space="preserve"> на спрощену чи загальну систему оподаткування </w:t>
        </w:r>
      </w:hyperlink>
    </w:p>
    <w:p w:rsidR="00833D3F" w:rsidRPr="00960792" w:rsidRDefault="00313D11" w:rsidP="00960792">
      <w:pPr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pict>
          <v:shape id="_x0000_i1026" type="#_x0000_t75" alt="" style="width:24pt;height:24pt"/>
        </w:pict>
      </w:r>
      <w:r w:rsidR="00833D3F" w:rsidRPr="00960792">
        <w:rPr>
          <w:rFonts w:ascii="Bookman Old Style" w:eastAsia="Times New Roman" w:hAnsi="Bookman Old Style" w:cs="Times New Roman"/>
          <w:sz w:val="24"/>
          <w:szCs w:val="24"/>
        </w:rPr>
        <w:t>Перейти можна як із загальної системи оподаткування на спрощену, так і навпаки. Супроводжують це перехідні операції, коли частина операції, як-от відвантаження товару, відбувається за однієї системи оподаткування, а оплата — вже за іншої. Розповімо, як їх оподатковувати єдиним податком, податком на прибуток і ПДВ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Перехідні витрати </w:t>
      </w:r>
      <w:proofErr w:type="spellStart"/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: 2023 чи 2024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У кінці місяця, кварталу, року підприємцю завжди слід бути обережним з перехідними витратами. Особливо в кінці року, так як </w:t>
      </w:r>
      <w:hyperlink r:id="rId33" w:tgtFrame="_blank" w:history="1">
        <w:r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декларація подається саме за рік</w:t>
        </w:r>
      </w:hyperlink>
      <w:r w:rsidRPr="00960792">
        <w:rPr>
          <w:rFonts w:ascii="Bookman Old Style" w:eastAsia="Times New Roman" w:hAnsi="Bookman Old Style" w:cs="Times New Roman"/>
          <w:sz w:val="24"/>
          <w:szCs w:val="24"/>
        </w:rPr>
        <w:t>. Нижче наведено типові ситуації розмежування витрат між двома роками. Аналогічні підходи застосовуються й до перехідних витрат між кварталами 2024 року і 2023 і 2024 роком. 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Продаж товарів у іншому місяці. 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заплатив за придбані товари у грудні 2023 р., але продає їх та отримує гроші за них лише у січні 2024 р. У такій ситуації відображаємо витрати у січні 2024 р., тобто у місяці 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lastRenderedPageBreak/>
        <w:t>отримання доходу, з яким були пов’язані витрати.  За роз’ясненнями податківців у графу 6 Книги обліку такі витрати теж потрібно занести у січні 2024 р. (консультація ДПС 104.05 ЗІР).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color w:val="740C1F"/>
          <w:sz w:val="24"/>
          <w:szCs w:val="24"/>
        </w:rPr>
        <w:t>Увага:</w:t>
      </w:r>
      <w:r w:rsidRPr="00960792">
        <w:rPr>
          <w:rFonts w:ascii="Bookman Old Style" w:eastAsia="Times New Roman" w:hAnsi="Bookman Old Style" w:cs="Times New Roman"/>
          <w:color w:val="740C1F"/>
          <w:sz w:val="24"/>
          <w:szCs w:val="24"/>
        </w:rPr>
        <w:t> 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витрати мають бути сплачені та пов’язані з отриманням певного доходу за розрахунковий період.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Сплата комунальних послуг і послуг зв’язку.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 Типова ситуація: опалення, зв’язок, інші послуги мали місце у грудні 2023 р. Однак сплата їхня відбувається у січні 2024 р. Витратами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ФОП-загальника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вони стають у січні 2024 р. – у місяці фактичної сплати (роз’яснення ДПС 104.04 ЗІР). Виходить, що якщо вони не сплачені, то зменшувати базу у грудні 2023 р. не можна.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Орендні платежі.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 У випадку, якщо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здійснює оплату у грудні 2023 р. послуг з оренди на 1 квартал 2024 р., маємо ситуацію навпаки: витрати сплачені у 2023 р., але стосуються послуг, які будуть отримані лише в 2024 р. Витрати зі сплати оренди відображаємо у тому періоді, коли вони були фактично сплачені, тобто у грудні 2023 р. (роз’яснення ДПС 104.05 ЗІР). 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Виплати найманим працівникам. 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Зарплата може бути виплачена у січні 2024 р., але стосуватися грудня 2023 р. Дану ситуацію відображаємо таким чином:</w:t>
      </w:r>
    </w:p>
    <w:p w:rsidR="00833D3F" w:rsidRPr="00960792" w:rsidRDefault="00833D3F" w:rsidP="00960792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у Книзі обліку – у січні 2024 р., але за умови, що </w:t>
      </w:r>
      <w:proofErr w:type="spellStart"/>
      <w:r w:rsidRPr="00960792">
        <w:rPr>
          <w:rFonts w:ascii="Bookman Old Style" w:eastAsia="Times New Roman" w:hAnsi="Bookman Old Style" w:cs="Times New Roman"/>
          <w:sz w:val="24"/>
          <w:szCs w:val="24"/>
        </w:rPr>
        <w:t>ФОП</w:t>
      </w:r>
      <w:proofErr w:type="spellEnd"/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має у січні 2024 р. певні доходи. При цьому не обов’язково у день виплати, а взагалі у місяці виплати. Якщо доходів немає взагалі за весь місяць, то ДПС забороняє визнавати витрати на зарплату у такому місяці (роз’яснення ДПС 104.08 ЗІР);</w:t>
      </w:r>
    </w:p>
    <w:p w:rsidR="00833D3F" w:rsidRPr="00960792" w:rsidRDefault="00833D3F" w:rsidP="00960792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у графі 3 </w:t>
      </w:r>
      <w:hyperlink r:id="rId34" w:history="1">
        <w:r w:rsidRPr="00960792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Додатка 4ДФ Податкового розрахунку</w:t>
        </w:r>
      </w:hyperlink>
      <w:r w:rsidRPr="00960792">
        <w:rPr>
          <w:rFonts w:ascii="Bookman Old Style" w:eastAsia="Times New Roman" w:hAnsi="Bookman Old Style" w:cs="Times New Roman"/>
          <w:sz w:val="24"/>
          <w:szCs w:val="24"/>
        </w:rPr>
        <w:t xml:space="preserve"> – за IV квартал 2023 р.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Сплата ЄСВ.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  Включаємо його до витрат у 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місяці фактичної сплати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, тобто:</w:t>
      </w:r>
    </w:p>
    <w:p w:rsidR="00833D3F" w:rsidRPr="00960792" w:rsidRDefault="00833D3F" w:rsidP="00960792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ЄСВ за найманими працівниками за  грудень 2023 р.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  – до Книги обліку вносимо у січні 2024 р., якщо зарплату й ЄСВ платимо у січні; у грудні 2023, якщо зарплату й ЄСВ платимо у грудні 2023;</w:t>
      </w:r>
    </w:p>
    <w:p w:rsidR="00833D3F" w:rsidRPr="00960792" w:rsidRDefault="00833D3F" w:rsidP="00960792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ЄСВ «за себе» за IV квартал 2023 р.  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– до Книги обліку вносимо у січні 2024 р. (місяці сплати).</w:t>
      </w:r>
    </w:p>
    <w:p w:rsidR="00833D3F" w:rsidRPr="00960792" w:rsidRDefault="00833D3F" w:rsidP="00960792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60792">
        <w:rPr>
          <w:rFonts w:ascii="Bookman Old Style" w:eastAsia="Times New Roman" w:hAnsi="Bookman Old Style" w:cs="Times New Roman"/>
          <w:b/>
          <w:bCs/>
          <w:color w:val="740C1F"/>
          <w:sz w:val="24"/>
          <w:szCs w:val="24"/>
        </w:rPr>
        <w:t>Увага:</w:t>
      </w:r>
      <w:r w:rsidRPr="00960792">
        <w:rPr>
          <w:rFonts w:ascii="Bookman Old Style" w:eastAsia="Times New Roman" w:hAnsi="Bookman Old Style" w:cs="Times New Roman"/>
          <w:b/>
          <w:bCs/>
          <w:sz w:val="24"/>
          <w:szCs w:val="24"/>
        </w:rPr>
        <w:t> </w:t>
      </w:r>
      <w:r w:rsidRPr="00960792">
        <w:rPr>
          <w:rFonts w:ascii="Bookman Old Style" w:eastAsia="Times New Roman" w:hAnsi="Bookman Old Style" w:cs="Times New Roman"/>
          <w:sz w:val="24"/>
          <w:szCs w:val="24"/>
        </w:rPr>
        <w:t>для того, щоб у місяці можна було показати витрати треба, щоб у ньому були хоча якісь доходи. Не обов’язково у день витрат.</w:t>
      </w:r>
    </w:p>
    <w:sectPr w:rsidR="00833D3F" w:rsidRPr="00960792" w:rsidSect="00313D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1576"/>
    <w:multiLevelType w:val="multilevel"/>
    <w:tmpl w:val="1B4C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C26C6"/>
    <w:multiLevelType w:val="multilevel"/>
    <w:tmpl w:val="54A6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B2772"/>
    <w:multiLevelType w:val="multilevel"/>
    <w:tmpl w:val="D058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62DEB"/>
    <w:multiLevelType w:val="multilevel"/>
    <w:tmpl w:val="A4D8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D304C2"/>
    <w:multiLevelType w:val="multilevel"/>
    <w:tmpl w:val="65F8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364DFF"/>
    <w:multiLevelType w:val="multilevel"/>
    <w:tmpl w:val="DBE6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F23AEB"/>
    <w:multiLevelType w:val="multilevel"/>
    <w:tmpl w:val="0AEC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6138B0"/>
    <w:multiLevelType w:val="multilevel"/>
    <w:tmpl w:val="DEDA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2E6D30"/>
    <w:multiLevelType w:val="multilevel"/>
    <w:tmpl w:val="1F5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F36852"/>
    <w:multiLevelType w:val="multilevel"/>
    <w:tmpl w:val="A4A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405C3F"/>
    <w:multiLevelType w:val="multilevel"/>
    <w:tmpl w:val="305E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8001F4"/>
    <w:multiLevelType w:val="multilevel"/>
    <w:tmpl w:val="3DEC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0D06EC"/>
    <w:multiLevelType w:val="multilevel"/>
    <w:tmpl w:val="5488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FD1B2D"/>
    <w:multiLevelType w:val="multilevel"/>
    <w:tmpl w:val="8A24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3"/>
  </w:num>
  <w:num w:numId="12">
    <w:abstractNumId w:val="12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833D3F"/>
    <w:rsid w:val="0018166F"/>
    <w:rsid w:val="00313D11"/>
    <w:rsid w:val="00833D3F"/>
    <w:rsid w:val="0096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11"/>
  </w:style>
  <w:style w:type="paragraph" w:styleId="2">
    <w:name w:val="heading 2"/>
    <w:basedOn w:val="a"/>
    <w:link w:val="20"/>
    <w:uiPriority w:val="9"/>
    <w:qFormat/>
    <w:rsid w:val="00833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3D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3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3D3F"/>
    <w:rPr>
      <w:b/>
      <w:bCs/>
    </w:rPr>
  </w:style>
  <w:style w:type="character" w:styleId="a5">
    <w:name w:val="Hyperlink"/>
    <w:basedOn w:val="a0"/>
    <w:uiPriority w:val="99"/>
    <w:semiHidden/>
    <w:unhideWhenUsed/>
    <w:rsid w:val="00833D3F"/>
    <w:rPr>
      <w:color w:val="0000FF"/>
      <w:u w:val="single"/>
    </w:rPr>
  </w:style>
  <w:style w:type="character" w:styleId="a6">
    <w:name w:val="Emphasis"/>
    <w:basedOn w:val="a0"/>
    <w:uiPriority w:val="20"/>
    <w:qFormat/>
    <w:rsid w:val="00833D3F"/>
    <w:rPr>
      <w:i/>
      <w:iCs/>
    </w:rPr>
  </w:style>
  <w:style w:type="character" w:customStyle="1" w:styleId="incontentbutton">
    <w:name w:val="incontentbutton"/>
    <w:basedOn w:val="a0"/>
    <w:rsid w:val="00833D3F"/>
  </w:style>
  <w:style w:type="paragraph" w:customStyle="1" w:styleId="redblockwithlogotext">
    <w:name w:val="redblockwithlogo__text"/>
    <w:basedOn w:val="a"/>
    <w:rsid w:val="0083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7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0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7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8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article/7309-onovlena-deklaratsya-z-pdv" TargetMode="External"/><Relationship Id="rId13" Type="http://schemas.openxmlformats.org/officeDocument/2006/relationships/hyperlink" Target="/article/7062-podatok-na-neruhome-mayno" TargetMode="External"/><Relationship Id="rId18" Type="http://schemas.openxmlformats.org/officeDocument/2006/relationships/hyperlink" Target="/files/2023/10/nakaz-Minfin-467.pdf" TargetMode="External"/><Relationship Id="rId26" Type="http://schemas.openxmlformats.org/officeDocument/2006/relationships/hyperlink" Target="https://zakon.rada.gov.ua/laws/show/2344-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2755-17" TargetMode="External"/><Relationship Id="rId34" Type="http://schemas.openxmlformats.org/officeDocument/2006/relationships/hyperlink" Target="/article/8892-dodatok-4df-do-podatkovogo-rozrahunku-z-pdfo-ta-sv-zrazok-zapovnennya" TargetMode="External"/><Relationship Id="rId7" Type="http://schemas.openxmlformats.org/officeDocument/2006/relationships/hyperlink" Target="https://gb.expertus.com.ua/recommendations/5321?utm_medium=referral&amp;utm_source=buhplatforma.com.ua&amp;utm_term=7066&amp;utm_content=article&amp;utm_campaign=red_block_content_link" TargetMode="External"/><Relationship Id="rId12" Type="http://schemas.openxmlformats.org/officeDocument/2006/relationships/hyperlink" Target="/article/7574-plata-za-zemlyu-2020" TargetMode="External"/><Relationship Id="rId17" Type="http://schemas.openxmlformats.org/officeDocument/2006/relationships/hyperlink" Target="/article/7306-deklaratsya-pro-maynoviy-stan-dohodi" TargetMode="External"/><Relationship Id="rId25" Type="http://schemas.openxmlformats.org/officeDocument/2006/relationships/hyperlink" Target="https://zakon.rada.gov.ua/laws/show/z1336-16" TargetMode="External"/><Relationship Id="rId33" Type="http://schemas.openxmlformats.org/officeDocument/2006/relationships/hyperlink" Target="https://gb.expertus.com.ua/recommendations/5642?utm_medium=referral&amp;utm_source=buhplatforma.com.ua&amp;utm_term=7066&amp;utm_content=article&amp;utm_campaign=red_block_content_link" TargetMode="External"/><Relationship Id="rId2" Type="http://schemas.openxmlformats.org/officeDocument/2006/relationships/styles" Target="styles.xml"/><Relationship Id="rId16" Type="http://schemas.openxmlformats.org/officeDocument/2006/relationships/hyperlink" Target="/article/7556-nov-pravila-turistichnogo-zboru-yak-za-nimi-pratsyuvati" TargetMode="External"/><Relationship Id="rId20" Type="http://schemas.openxmlformats.org/officeDocument/2006/relationships/hyperlink" Target="/article/7521-yak-pravilno-sklasti-akt-vikonanih-robtakt-nadanih-poslug" TargetMode="External"/><Relationship Id="rId29" Type="http://schemas.openxmlformats.org/officeDocument/2006/relationships/hyperlink" Target="https://zakon.rada.gov.ua/laws/show/2520-20" TargetMode="External"/><Relationship Id="rId1" Type="http://schemas.openxmlformats.org/officeDocument/2006/relationships/numbering" Target="numbering.xml"/><Relationship Id="rId6" Type="http://schemas.openxmlformats.org/officeDocument/2006/relationships/hyperlink" Target="/article/8813-fop-dinnik-perevishchu-lmt-v-1-mln-grn-chi-potrben-rro" TargetMode="External"/><Relationship Id="rId11" Type="http://schemas.openxmlformats.org/officeDocument/2006/relationships/hyperlink" Target="/article/7192-dodatok-pn-podatok-na-dohodi-nerezidentv" TargetMode="External"/><Relationship Id="rId24" Type="http://schemas.openxmlformats.org/officeDocument/2006/relationships/hyperlink" Target="https://zakon.rada.gov.ua/laws/show/z0288-00" TargetMode="External"/><Relationship Id="rId32" Type="http://schemas.openxmlformats.org/officeDocument/2006/relationships/hyperlink" Target="https://gb.expertus.com.ua/recommendations/747?utm_medium=referral&amp;utm_source=buhplatforma.com.ua&amp;utm_term=7066&amp;utm_content=article&amp;utm_campaign=red_block_content_vrezka_logocolour" TargetMode="External"/><Relationship Id="rId5" Type="http://schemas.openxmlformats.org/officeDocument/2006/relationships/hyperlink" Target="https://gb.expertus.com.ua/recommendations/1042?utm_medium=referral&amp;utm_source=buhplatforma.com.ua&amp;utm_term=7066&amp;utm_content=article&amp;utm_campaign=red_block_content_link" TargetMode="External"/><Relationship Id="rId15" Type="http://schemas.openxmlformats.org/officeDocument/2006/relationships/hyperlink" Target="/article/6809-skladannya-ta-podannya-podatkovo-deklarats-z-rentno-plati-dlya-msyachnih-platnikv-podatku" TargetMode="External"/><Relationship Id="rId23" Type="http://schemas.openxmlformats.org/officeDocument/2006/relationships/hyperlink" Target="https://gb.expertus.com.ua/recommendations/8557?utm_medium=referral&amp;utm_source=buhplatforma.com.ua&amp;utm_term=7066&amp;utm_content=article&amp;utm_campaign=red_block_content_link" TargetMode="External"/><Relationship Id="rId28" Type="http://schemas.openxmlformats.org/officeDocument/2006/relationships/hyperlink" Target="/article/9210-pdfo-u-2022-rots" TargetMode="External"/><Relationship Id="rId36" Type="http://schemas.openxmlformats.org/officeDocument/2006/relationships/theme" Target="theme/theme1.xml"/><Relationship Id="rId10" Type="http://schemas.openxmlformats.org/officeDocument/2006/relationships/hyperlink" Target="/article/7545-deklaratsya-z-podatku-na-pributok" TargetMode="External"/><Relationship Id="rId19" Type="http://schemas.openxmlformats.org/officeDocument/2006/relationships/hyperlink" Target="/article/8607-obdnannya-sv-ta-pdfo-dina-zvtnst-2021" TargetMode="External"/><Relationship Id="rId31" Type="http://schemas.openxmlformats.org/officeDocument/2006/relationships/hyperlink" Target="/article/8702-splata-sv-fop-u-2021-ro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article/7529-buhoblk-podatku-na-repatratsyu" TargetMode="External"/><Relationship Id="rId14" Type="http://schemas.openxmlformats.org/officeDocument/2006/relationships/hyperlink" Target="/article/7127-ekologchniy-podatok-2019" TargetMode="External"/><Relationship Id="rId22" Type="http://schemas.openxmlformats.org/officeDocument/2006/relationships/hyperlink" Target="https://zakon.rada.gov.ua/laws/show/z0865-21" TargetMode="External"/><Relationship Id="rId27" Type="http://schemas.openxmlformats.org/officeDocument/2006/relationships/hyperlink" Target="/article/16408-minimalna-zarplata-2024" TargetMode="External"/><Relationship Id="rId30" Type="http://schemas.openxmlformats.org/officeDocument/2006/relationships/hyperlink" Target="https://vl.tax.gov.ua/media-ark/news-ark/668049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12477</Words>
  <Characters>7113</Characters>
  <Application>Microsoft Office Word</Application>
  <DocSecurity>0</DocSecurity>
  <Lines>59</Lines>
  <Paragraphs>39</Paragraphs>
  <ScaleCrop>false</ScaleCrop>
  <Company/>
  <LinksUpToDate>false</LinksUpToDate>
  <CharactersWithSpaces>19551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2024-03-13T12:29:00Z</dcterms:created>
  <dcterms:modified xsi:type="dcterms:W3CDTF">2024-03-13T14:52:00Z</dcterms:modified>
</cp:coreProperties>
</file>