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3776" w14:textId="77777777" w:rsidR="00130BFE" w:rsidRPr="00130BFE" w:rsidRDefault="00130BFE" w:rsidP="00130BFE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221E1F"/>
          <w:sz w:val="33"/>
          <w:szCs w:val="33"/>
          <w:lang w:val="ru-UA" w:eastAsia="ru-UA"/>
        </w:rPr>
      </w:pPr>
      <w:r w:rsidRPr="00130BFE">
        <w:rPr>
          <w:rFonts w:ascii="inherit" w:eastAsia="Times New Roman" w:hAnsi="inherit" w:cs="Arial"/>
          <w:b/>
          <w:bCs/>
          <w:caps/>
          <w:color w:val="221E1F"/>
          <w:sz w:val="33"/>
          <w:szCs w:val="33"/>
          <w:bdr w:val="none" w:sz="0" w:space="0" w:color="auto" w:frame="1"/>
          <w:lang w:val="ru-UA" w:eastAsia="ru-UA"/>
        </w:rPr>
        <w:t>ТЕРМІНИ ІНКОТЕРМС-2020 І НЮАНСИ ЇХ ЗАСТОСУВАННЯ</w:t>
      </w:r>
    </w:p>
    <w:tbl>
      <w:tblPr>
        <w:tblW w:w="1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4829"/>
        <w:gridCol w:w="4200"/>
        <w:gridCol w:w="3246"/>
      </w:tblGrid>
      <w:tr w:rsidR="00130BFE" w:rsidRPr="00130BFE" w14:paraId="72B89A47" w14:textId="77777777" w:rsidTr="00130BFE">
        <w:trPr>
          <w:tblHeader/>
        </w:trPr>
        <w:tc>
          <w:tcPr>
            <w:tcW w:w="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7F7F7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DC85D7E" w14:textId="77777777" w:rsidR="00130BFE" w:rsidRPr="00130BFE" w:rsidRDefault="00130BFE" w:rsidP="00130BFE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№ з/п</w:t>
            </w:r>
          </w:p>
        </w:tc>
        <w:tc>
          <w:tcPr>
            <w:tcW w:w="35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7F7F7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AB78A61" w14:textId="77777777" w:rsidR="00130BFE" w:rsidRPr="00130BFE" w:rsidRDefault="00130BFE" w:rsidP="00130BFE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Назва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та суть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торговельного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терміна</w:t>
            </w:r>
            <w:proofErr w:type="spellEnd"/>
          </w:p>
        </w:tc>
        <w:tc>
          <w:tcPr>
            <w:tcW w:w="31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7F7F7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E44A2C0" w14:textId="77777777" w:rsidR="00130BFE" w:rsidRPr="00130BFE" w:rsidRDefault="00130BFE" w:rsidP="00130BFE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Зона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відповідальності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продавця</w:t>
            </w:r>
            <w:proofErr w:type="spellEnd"/>
          </w:p>
        </w:tc>
        <w:tc>
          <w:tcPr>
            <w:tcW w:w="24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7F7F7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A246EB9" w14:textId="77777777" w:rsidR="00130BFE" w:rsidRPr="00130BFE" w:rsidRDefault="00130BFE" w:rsidP="00130BFE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Зона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відповідальності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покупця</w:t>
            </w:r>
            <w:proofErr w:type="spellEnd"/>
          </w:p>
        </w:tc>
      </w:tr>
      <w:tr w:rsidR="00130BFE" w:rsidRPr="00130BFE" w14:paraId="54DFC198" w14:textId="77777777" w:rsidTr="00130BFE">
        <w:tc>
          <w:tcPr>
            <w:tcW w:w="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2F03854A" w14:textId="77777777" w:rsidR="00130BFE" w:rsidRPr="00130BFE" w:rsidRDefault="00130BFE" w:rsidP="00130BFE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1</w:t>
            </w:r>
          </w:p>
        </w:tc>
        <w:tc>
          <w:tcPr>
            <w:tcW w:w="35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51D2626" w14:textId="77777777" w:rsidR="00130BFE" w:rsidRPr="00130BFE" w:rsidRDefault="00130BFE" w:rsidP="00130BFE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2</w:t>
            </w:r>
          </w:p>
        </w:tc>
        <w:tc>
          <w:tcPr>
            <w:tcW w:w="31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A4D5779" w14:textId="77777777" w:rsidR="00130BFE" w:rsidRPr="00130BFE" w:rsidRDefault="00130BFE" w:rsidP="00130BFE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3</w:t>
            </w:r>
          </w:p>
        </w:tc>
        <w:tc>
          <w:tcPr>
            <w:tcW w:w="24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421845D" w14:textId="77777777" w:rsidR="00130BFE" w:rsidRPr="00130BFE" w:rsidRDefault="00130BFE" w:rsidP="00130BFE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4</w:t>
            </w:r>
          </w:p>
        </w:tc>
      </w:tr>
      <w:tr w:rsidR="00130BFE" w:rsidRPr="00130BFE" w14:paraId="17737BB5" w14:textId="77777777" w:rsidTr="00130BFE">
        <w:tc>
          <w:tcPr>
            <w:tcW w:w="9480" w:type="dxa"/>
            <w:gridSpan w:val="4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2712CDF2" w14:textId="77777777" w:rsidR="00130BFE" w:rsidRPr="00130BFE" w:rsidRDefault="00130BFE" w:rsidP="00130BFE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Категорія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Е (товар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надано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продавцем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на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власному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складі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)</w:t>
            </w:r>
          </w:p>
        </w:tc>
      </w:tr>
      <w:tr w:rsidR="00130BFE" w:rsidRPr="00130BFE" w14:paraId="539B39AB" w14:textId="77777777" w:rsidTr="00130BFE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45D8A79" w14:textId="77777777" w:rsidR="00130BFE" w:rsidRPr="00130BFE" w:rsidRDefault="00130BFE" w:rsidP="00130BFE">
            <w:pPr>
              <w:spacing w:before="240" w:after="24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1</w:t>
            </w:r>
          </w:p>
        </w:tc>
        <w:tc>
          <w:tcPr>
            <w:tcW w:w="35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39614E1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EXW (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Ex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Works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) – франко-завод&lt;...&gt;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 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назва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).</w:t>
            </w:r>
          </w:p>
          <w:p w14:paraId="3FABDC2C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Поставка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відбулася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момент, коли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передав товар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покупцеві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площі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підприємства-продавця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або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іншому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зазначеному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наприклад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складі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).</w:t>
            </w:r>
          </w:p>
          <w:p w14:paraId="3F2A550F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Перехід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– з моменту поставки.</w:t>
            </w:r>
          </w:p>
          <w:p w14:paraId="560DE874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Розподіл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затрат –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поставки.</w:t>
            </w:r>
          </w:p>
          <w:p w14:paraId="6E9B9955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Вид транспорту – будь-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який</w:t>
            </w:r>
            <w:proofErr w:type="spellEnd"/>
          </w:p>
        </w:tc>
        <w:tc>
          <w:tcPr>
            <w:tcW w:w="31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25640FF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Контроль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безпеки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перевірка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кількості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ваги,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розміру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пакування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маркування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транспортний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засіб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далі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– ТЗ)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поставки,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це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окремо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прописано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договорі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купівлі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-продажу.</w:t>
            </w:r>
          </w:p>
          <w:p w14:paraId="22085EDD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повідомити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про поставку та подати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документи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: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комерційний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інвойс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для оплати,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накладну</w:t>
            </w:r>
            <w:proofErr w:type="spellEnd"/>
          </w:p>
        </w:tc>
        <w:tc>
          <w:tcPr>
            <w:tcW w:w="24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62C112A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 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ліцензії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платежі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)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час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, транзиту; доставка товару</w:t>
            </w:r>
          </w:p>
        </w:tc>
      </w:tr>
      <w:tr w:rsidR="00130BFE" w:rsidRPr="00130BFE" w14:paraId="73C63BFC" w14:textId="77777777" w:rsidTr="00130BFE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bottom"/>
            <w:hideMark/>
          </w:tcPr>
          <w:p w14:paraId="050044EB" w14:textId="77777777" w:rsidR="00130BFE" w:rsidRPr="00130BFE" w:rsidRDefault="00130BFE" w:rsidP="00130BFE">
            <w:pPr>
              <w:spacing w:after="0" w:line="240" w:lineRule="auto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</w:p>
        </w:tc>
        <w:tc>
          <w:tcPr>
            <w:tcW w:w="9075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6609F25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Особливості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застосування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: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 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може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зіткнутися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із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труднощами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час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своїх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оскільки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зареєстрований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митній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території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країни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більше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підходить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для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внутрішньої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торгівлі</w:t>
            </w:r>
            <w:proofErr w:type="spellEnd"/>
          </w:p>
        </w:tc>
      </w:tr>
      <w:tr w:rsidR="00130BFE" w:rsidRPr="00130BFE" w14:paraId="483BDE77" w14:textId="77777777" w:rsidTr="00130BFE">
        <w:tc>
          <w:tcPr>
            <w:tcW w:w="9480" w:type="dxa"/>
            <w:gridSpan w:val="4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6F821F8" w14:textId="77777777" w:rsidR="00130BFE" w:rsidRPr="00130BFE" w:rsidRDefault="00130BFE" w:rsidP="00130BFE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lastRenderedPageBreak/>
              <w:t>Категорія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F (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передати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товар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зазначеному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покупцем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перевізникові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)</w:t>
            </w:r>
          </w:p>
        </w:tc>
      </w:tr>
      <w:tr w:rsidR="00130BFE" w:rsidRPr="00130BFE" w14:paraId="42D7032C" w14:textId="77777777" w:rsidTr="00130BFE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BD25DFD" w14:textId="77777777" w:rsidR="00130BFE" w:rsidRPr="00130BFE" w:rsidRDefault="00130BFE" w:rsidP="00130BFE">
            <w:pPr>
              <w:spacing w:before="240" w:after="24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2</w:t>
            </w:r>
          </w:p>
        </w:tc>
        <w:tc>
          <w:tcPr>
            <w:tcW w:w="35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06C75D3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FCA (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Free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Carrier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) – франко-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перевізник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&lt;...&gt;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 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назва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).</w:t>
            </w:r>
          </w:p>
          <w:p w14:paraId="2BF0DAFF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передбачає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два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можливі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продавцем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товару:</w:t>
            </w:r>
          </w:p>
          <w:p w14:paraId="520E3D15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–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належить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продавцеві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наприклад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його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склад, фабрика, магазин);</w:t>
            </w:r>
          </w:p>
          <w:p w14:paraId="074A1D4F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–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зазначене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договорі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яке не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належить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продавцеві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наприклад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морський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порт,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термінал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).</w:t>
            </w:r>
          </w:p>
          <w:p w14:paraId="41530889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Уважається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після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на ТЗ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перевізника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оплачене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продавцем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. При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цьому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із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ТЗ не є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обов’язком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297B4963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Поставка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відбулася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момент, коли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встановленому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передав товар,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пройшов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очищення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для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експорту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зазначеному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покупцем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перевізникові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або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іншій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особі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79BB17BA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Перехід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– з моменту поставки.</w:t>
            </w:r>
          </w:p>
          <w:p w14:paraId="198A46B0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Розподіл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затрат –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поставки.</w:t>
            </w:r>
          </w:p>
          <w:p w14:paraId="68C69B30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Вид транспорту – будь-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який</w:t>
            </w:r>
            <w:proofErr w:type="spellEnd"/>
          </w:p>
        </w:tc>
        <w:tc>
          <w:tcPr>
            <w:tcW w:w="31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263C64B2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 xml:space="preserve">Контроль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безпеки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перевірка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кількості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ваги,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розміру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пакування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маркування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на ТЗ,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здійснюється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приміщенні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доставка товару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поставки 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наприклад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морському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перевізникові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зазначеному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покупцем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).</w:t>
            </w:r>
          </w:p>
          <w:p w14:paraId="75EFB57C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повідомити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про доставку та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підтвердити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передання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перевізникові</w:t>
            </w:r>
            <w:proofErr w:type="spellEnd"/>
          </w:p>
        </w:tc>
        <w:tc>
          <w:tcPr>
            <w:tcW w:w="24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812586D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на ТЗ,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здійснюється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не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приміщенні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транзитних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доставка товару</w:t>
            </w:r>
          </w:p>
        </w:tc>
      </w:tr>
      <w:tr w:rsidR="00130BFE" w:rsidRPr="00130BFE" w14:paraId="4038DEA6" w14:textId="77777777" w:rsidTr="00130BFE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bottom"/>
            <w:hideMark/>
          </w:tcPr>
          <w:p w14:paraId="4DA183F4" w14:textId="77777777" w:rsidR="00130BFE" w:rsidRPr="00130BFE" w:rsidRDefault="00130BFE" w:rsidP="00130BFE">
            <w:pPr>
              <w:spacing w:after="0" w:line="240" w:lineRule="auto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</w:p>
        </w:tc>
        <w:tc>
          <w:tcPr>
            <w:tcW w:w="9075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85000BB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Особливості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застосування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: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 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контракті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слід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максимально точно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вказати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пункт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поставки,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оскільки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саме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цьому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пункті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ушкодження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або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втрати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переходять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покупця</w:t>
            </w:r>
            <w:proofErr w:type="spellEnd"/>
          </w:p>
        </w:tc>
      </w:tr>
      <w:tr w:rsidR="00130BFE" w:rsidRPr="00130BFE" w14:paraId="2F1B791B" w14:textId="77777777" w:rsidTr="00130BFE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0C2628A" w14:textId="77777777" w:rsidR="00130BFE" w:rsidRPr="00130BFE" w:rsidRDefault="00130BFE" w:rsidP="00130BFE">
            <w:pPr>
              <w:spacing w:before="240" w:after="24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3</w:t>
            </w:r>
          </w:p>
        </w:tc>
        <w:tc>
          <w:tcPr>
            <w:tcW w:w="35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C4B38FA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FAS (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Free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Alongside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Ship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) –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франко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уздовж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борту судна&lt;...&gt;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 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назва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).</w:t>
            </w:r>
          </w:p>
          <w:p w14:paraId="0CD5976E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Поставка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відбулася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момент, коли товар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розміщений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уздовж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борту судна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причалі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баржі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зазначеному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791F0ACF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Перехід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– з моменту поставки.</w:t>
            </w:r>
          </w:p>
          <w:p w14:paraId="36EE9BB7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Розподіл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затрат –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поставки (коли товар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знаходиться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уздовж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борту судна).</w:t>
            </w:r>
          </w:p>
          <w:p w14:paraId="7AD88056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Вид транспорту –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тільки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морський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або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внутрішній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водний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транспорт</w:t>
            </w:r>
          </w:p>
        </w:tc>
        <w:tc>
          <w:tcPr>
            <w:tcW w:w="31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EC060AC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 xml:space="preserve">Контроль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безпеки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перевірка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кількості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ваги,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розміру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пакування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маркування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отримання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ліцензії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дозволу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інше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встановлено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договором; доставка товару в порт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15498306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повідомити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про доставку товару та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підтвердити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передання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перевізникові</w:t>
            </w:r>
            <w:proofErr w:type="spellEnd"/>
          </w:p>
        </w:tc>
        <w:tc>
          <w:tcPr>
            <w:tcW w:w="24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0343D2B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Навантаження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на судно в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транзитних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доставка товару з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це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окремо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передбачено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договорі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купівлі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-продажу 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доповненні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нього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)</w:t>
            </w:r>
          </w:p>
        </w:tc>
      </w:tr>
      <w:tr w:rsidR="00130BFE" w:rsidRPr="00130BFE" w14:paraId="06701E7B" w14:textId="77777777" w:rsidTr="00130BFE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bottom"/>
            <w:hideMark/>
          </w:tcPr>
          <w:p w14:paraId="4C01DC85" w14:textId="77777777" w:rsidR="00130BFE" w:rsidRPr="00130BFE" w:rsidRDefault="00130BFE" w:rsidP="00130BFE">
            <w:pPr>
              <w:spacing w:after="0" w:line="240" w:lineRule="auto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</w:p>
        </w:tc>
        <w:tc>
          <w:tcPr>
            <w:tcW w:w="9075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E75C0BD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Особливості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застосування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: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 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контракті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слід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максимально точно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вказати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пункт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оскільки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цього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пункту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всі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затрати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несе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після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поставки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цей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пункт –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покупець</w:t>
            </w:r>
            <w:proofErr w:type="spellEnd"/>
          </w:p>
        </w:tc>
      </w:tr>
      <w:tr w:rsidR="00130BFE" w:rsidRPr="00130BFE" w14:paraId="1B21EBCB" w14:textId="77777777" w:rsidTr="00130BFE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64E0610" w14:textId="77777777" w:rsidR="00130BFE" w:rsidRPr="00130BFE" w:rsidRDefault="00130BFE" w:rsidP="00130BFE">
            <w:pPr>
              <w:spacing w:before="240" w:after="24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4</w:t>
            </w:r>
          </w:p>
        </w:tc>
        <w:tc>
          <w:tcPr>
            <w:tcW w:w="35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A4B6230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FOB (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Free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Оn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Board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) – франко-борт &lt;...&gt;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 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назва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).</w:t>
            </w:r>
          </w:p>
          <w:p w14:paraId="4902A520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Поставка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відбулася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момент, коли товар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потрапив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борт судна в названому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0585A6BA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Перехід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– з моменту поставки (на борту судна).</w:t>
            </w:r>
          </w:p>
          <w:p w14:paraId="7359E8D6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Розподіл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затрат –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поставки (на борту судна).</w:t>
            </w:r>
          </w:p>
          <w:p w14:paraId="5B464D94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Вид транспорту –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тільки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морський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або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внутрішній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водний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транспорт</w:t>
            </w:r>
          </w:p>
        </w:tc>
        <w:tc>
          <w:tcPr>
            <w:tcW w:w="31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31B2013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Контроль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безпеки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перевірка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кількості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ваги,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розміру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пакування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маркування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отримання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ліцензії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дозволу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та доставка товару в порт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й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на судно в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32AA55AA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надати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покупцеві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доказ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поставки –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відповідний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транспортний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документ</w:t>
            </w:r>
          </w:p>
        </w:tc>
        <w:tc>
          <w:tcPr>
            <w:tcW w:w="24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BA52FA7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Доставка товару з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транзитних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</w:t>
            </w:r>
          </w:p>
        </w:tc>
      </w:tr>
      <w:tr w:rsidR="00130BFE" w:rsidRPr="00130BFE" w14:paraId="5C864867" w14:textId="77777777" w:rsidTr="00130BFE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bottom"/>
            <w:hideMark/>
          </w:tcPr>
          <w:p w14:paraId="7F5F8137" w14:textId="77777777" w:rsidR="00130BFE" w:rsidRPr="00130BFE" w:rsidRDefault="00130BFE" w:rsidP="00130BFE">
            <w:pPr>
              <w:spacing w:after="0" w:line="240" w:lineRule="auto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</w:p>
        </w:tc>
        <w:tc>
          <w:tcPr>
            <w:tcW w:w="9075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DED1D36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Особливості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застосування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: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 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цей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недоцільно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використовувати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передається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перевізникові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 того моменту, як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потрапить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борт судна 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наприклад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товар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знаходиться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 контейнерах,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зазвичай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поставляються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термінал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). У таких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випадках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застосовується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FCA</w:t>
            </w:r>
          </w:p>
        </w:tc>
      </w:tr>
      <w:tr w:rsidR="00130BFE" w:rsidRPr="00130BFE" w14:paraId="2A61C4C7" w14:textId="77777777" w:rsidTr="00130BFE">
        <w:tc>
          <w:tcPr>
            <w:tcW w:w="9480" w:type="dxa"/>
            <w:gridSpan w:val="4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26948291" w14:textId="77777777" w:rsidR="00130BFE" w:rsidRPr="00130BFE" w:rsidRDefault="00130BFE" w:rsidP="00130BFE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Категорія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C (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укласти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договір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, але не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приймає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на себе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ризик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втрати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або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ушкодження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товару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або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додаткові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затрати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внаслідок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подій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що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відбулися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після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та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відправлення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)</w:t>
            </w:r>
          </w:p>
        </w:tc>
      </w:tr>
      <w:tr w:rsidR="00130BFE" w:rsidRPr="00130BFE" w14:paraId="1E3E987D" w14:textId="77777777" w:rsidTr="00130BFE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3C6C071" w14:textId="77777777" w:rsidR="00130BFE" w:rsidRPr="00130BFE" w:rsidRDefault="00130BFE" w:rsidP="00130BFE">
            <w:pPr>
              <w:spacing w:before="240" w:after="24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5</w:t>
            </w:r>
          </w:p>
        </w:tc>
        <w:tc>
          <w:tcPr>
            <w:tcW w:w="35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AD160BA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CFR (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Cost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and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Freight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) –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вартість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і фрахт&lt;...&gt;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 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назва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).</w:t>
            </w:r>
          </w:p>
          <w:p w14:paraId="4D78A9D1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Поставка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відбулася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момент, коли товар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потрапив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борт судна в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2917A6A5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оплачує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(фрахт) до названого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Перехід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– з моменту, коли товар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знаходиться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борту судна в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0B60DB1E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Розподіл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затрат –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1DC2B2D7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Вид транспорту –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тільки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морський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або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внутрішній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водний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транспорт</w:t>
            </w:r>
          </w:p>
        </w:tc>
        <w:tc>
          <w:tcPr>
            <w:tcW w:w="31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153AAA3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Контроль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безпеки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перевірка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кількості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ваги,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розміру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пакування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маркування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отримання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ліцензії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дозволу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доставка до названого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в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транзитне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через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треті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країни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 договором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витрати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такі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оплачує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11C60277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подати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покупцеві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транспортний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документ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погодженого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</w:p>
        </w:tc>
        <w:tc>
          <w:tcPr>
            <w:tcW w:w="24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4593B23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транзитних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 договором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витрати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оплачує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доставка з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</w:p>
        </w:tc>
      </w:tr>
      <w:tr w:rsidR="00130BFE" w:rsidRPr="00130BFE" w14:paraId="00FC0918" w14:textId="77777777" w:rsidTr="00130BFE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bottom"/>
            <w:hideMark/>
          </w:tcPr>
          <w:p w14:paraId="626CC71A" w14:textId="77777777" w:rsidR="00130BFE" w:rsidRPr="00130BFE" w:rsidRDefault="00130BFE" w:rsidP="00130BFE">
            <w:pPr>
              <w:spacing w:after="0" w:line="240" w:lineRule="auto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</w:p>
        </w:tc>
        <w:tc>
          <w:tcPr>
            <w:tcW w:w="9075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21F2C88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Особливості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застосування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: 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контракті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треба точно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вказати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пункт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погодженому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сторонами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оскільки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цього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пункту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витрати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оплачує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Цей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недоцільно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використовувати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передається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перевізникові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 того моменту, як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потрапить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борт судна 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наприклад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товар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знаходиться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контейнерах,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зазвичай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поставляються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термінал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). У таких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випадках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застосовується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CIP</w:t>
            </w:r>
          </w:p>
        </w:tc>
      </w:tr>
      <w:tr w:rsidR="00130BFE" w:rsidRPr="00130BFE" w14:paraId="5962C332" w14:textId="77777777" w:rsidTr="00130BFE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FF58D39" w14:textId="77777777" w:rsidR="00130BFE" w:rsidRPr="00130BFE" w:rsidRDefault="00130BFE" w:rsidP="00130BFE">
            <w:pPr>
              <w:spacing w:before="240" w:after="24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6</w:t>
            </w:r>
          </w:p>
        </w:tc>
        <w:tc>
          <w:tcPr>
            <w:tcW w:w="35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A37BAAF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CIF (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Cost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Insurance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and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Freight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)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 – 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вартість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страхування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та фрахт &lt;...&gt;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 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назва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).</w:t>
            </w:r>
          </w:p>
          <w:p w14:paraId="7701C9C0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Поставка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відбулася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момент, коли товар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потрапив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борт судна в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1AA5C676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оплатити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доставку (фрахт) у порт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застрахувати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користь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втрати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й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ушкодження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час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Потрібно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тільки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мінімальне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покриття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інше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передбачено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договором.</w:t>
            </w:r>
          </w:p>
          <w:p w14:paraId="64BB4C25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Перехід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–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із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моменту, коли товар уже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знаходиться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борту судна в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006518E3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Розподіл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затрат –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41787017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Вид транспорту –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тільки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морський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або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внутрішній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водний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транспорт</w:t>
            </w:r>
          </w:p>
        </w:tc>
        <w:tc>
          <w:tcPr>
            <w:tcW w:w="31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47101F7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 xml:space="preserve">Контроль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безпеки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перевірка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кількості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ваги,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розміру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пакування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маркування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отримання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ліцензії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дозволу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доставка до названого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страхування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користь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час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в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транзитних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 договором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витрати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оплачує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3E654044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подати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покупцеві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страховий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поліс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або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інше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підтвердження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страхового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покриття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сторони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можуть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узгодити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контракті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більш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високі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рівні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покриття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)</w:t>
            </w:r>
          </w:p>
        </w:tc>
        <w:tc>
          <w:tcPr>
            <w:tcW w:w="24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D5F3AE2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Вивантаження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в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транзитних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 договором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витрати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оплачує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доставка з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</w:p>
        </w:tc>
      </w:tr>
      <w:tr w:rsidR="00130BFE" w:rsidRPr="00130BFE" w14:paraId="57AE430F" w14:textId="77777777" w:rsidTr="00130BFE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bottom"/>
            <w:hideMark/>
          </w:tcPr>
          <w:p w14:paraId="3CE73FDD" w14:textId="77777777" w:rsidR="00130BFE" w:rsidRPr="00130BFE" w:rsidRDefault="00130BFE" w:rsidP="00130BFE">
            <w:pPr>
              <w:spacing w:after="0" w:line="240" w:lineRule="auto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</w:p>
        </w:tc>
        <w:tc>
          <w:tcPr>
            <w:tcW w:w="9075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E89CDF1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Особливості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застосування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: 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контракті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треба точно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вказати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пункт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погодженому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сторонами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оскільки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цього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пункту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витрати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оплачує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Цей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недоцільно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використовувати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передається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перевізникові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 того моменту, як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потрапить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борт судна 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наприклад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товар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знаходиться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контейнерах,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зазвичай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поставляються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термінал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). У таких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випадках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застосовується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CPT.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повинен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розуміти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гарантує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тільки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мінімальне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страхове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покриття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й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може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вимагати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щоб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контракті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було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встановлене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додаткове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страхове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покриття</w:t>
            </w:r>
            <w:proofErr w:type="spellEnd"/>
          </w:p>
        </w:tc>
      </w:tr>
      <w:tr w:rsidR="00130BFE" w:rsidRPr="00130BFE" w14:paraId="7AE4F722" w14:textId="77777777" w:rsidTr="00130BFE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34F6C3E" w14:textId="77777777" w:rsidR="00130BFE" w:rsidRPr="00130BFE" w:rsidRDefault="00130BFE" w:rsidP="00130BFE">
            <w:pPr>
              <w:spacing w:before="240" w:after="24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7</w:t>
            </w:r>
          </w:p>
        </w:tc>
        <w:tc>
          <w:tcPr>
            <w:tcW w:w="35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28F85F8A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CPT (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Carriage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Paid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To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) – фрахт/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оплачено до &lt;...&gt;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 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назва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).</w:t>
            </w:r>
          </w:p>
          <w:p w14:paraId="5B7602E1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Поставка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відбулася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момент, коли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доставив товар названому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перевізникові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або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іншій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особі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узгодженому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сторонами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59595218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оплачує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до названого пункту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повідомити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покупця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про час доставки товару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узгоджене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Перехід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–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із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моменту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передання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перевізникові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52AF532F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Розподіл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затрат –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2B172491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Вид транспорту – будь-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який</w:t>
            </w:r>
            <w:proofErr w:type="spellEnd"/>
          </w:p>
        </w:tc>
        <w:tc>
          <w:tcPr>
            <w:tcW w:w="31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1E29722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 xml:space="preserve">Контроль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безпеки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перевірка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кількості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ваги,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розміру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пакування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маркування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доставка товару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узгодженого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пункту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транзитних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 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 xml:space="preserve">договором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витрати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оплачує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5CCCBFA1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Доказом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продавцем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своїх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обов’язків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із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поставки товару є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відповідний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транспортний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документ</w:t>
            </w:r>
          </w:p>
        </w:tc>
        <w:tc>
          <w:tcPr>
            <w:tcW w:w="24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5E059E2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Вивантаження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в порту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транзитних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 договором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витрати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оплачує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 xml:space="preserve">доставка з пункту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</w:p>
        </w:tc>
      </w:tr>
      <w:tr w:rsidR="00130BFE" w:rsidRPr="00130BFE" w14:paraId="65A9792C" w14:textId="77777777" w:rsidTr="00130BFE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bottom"/>
            <w:hideMark/>
          </w:tcPr>
          <w:p w14:paraId="3CE9D0DB" w14:textId="77777777" w:rsidR="00130BFE" w:rsidRPr="00130BFE" w:rsidRDefault="00130BFE" w:rsidP="00130BFE">
            <w:pPr>
              <w:spacing w:after="0" w:line="240" w:lineRule="auto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</w:p>
        </w:tc>
        <w:tc>
          <w:tcPr>
            <w:tcW w:w="9075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0FE44FC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Особливості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застосування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: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 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контракті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слід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максимально точно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вказати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поставки,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переходить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і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якого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оплатити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доставку.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Цей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доцільно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використовувати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доставляється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кількома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видами транспорту 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наприклад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спочатку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залізницею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далі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– морем)</w:t>
            </w:r>
          </w:p>
        </w:tc>
      </w:tr>
      <w:tr w:rsidR="00130BFE" w:rsidRPr="00130BFE" w14:paraId="5DFAF444" w14:textId="77777777" w:rsidTr="00130BFE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19A701E" w14:textId="77777777" w:rsidR="00130BFE" w:rsidRPr="00130BFE" w:rsidRDefault="00130BFE" w:rsidP="00130BFE">
            <w:pPr>
              <w:spacing w:before="240" w:after="24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8</w:t>
            </w:r>
          </w:p>
        </w:tc>
        <w:tc>
          <w:tcPr>
            <w:tcW w:w="35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CCBEE4B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CIP (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Carriage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and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Insurance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Paid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to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) – фрахт/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та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страхування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оплачені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до &lt;...&gt;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 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назва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).</w:t>
            </w:r>
          </w:p>
          <w:p w14:paraId="068159FD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Поставка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відбулася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момент, коли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доставив товар названому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перевізникові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або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іншій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особі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2B65EEDE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оплатити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доставку до названого пункту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 xml:space="preserve">та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застрахувати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усіх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із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максимальним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страховим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покриттям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і страховою сумою не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менше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110 %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вартості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Водночас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сторони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побажають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можуть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погодитися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контракті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більш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низький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рівень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страхового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покриття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008977B8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Перехід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– у момент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передання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першому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перевізникові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34C282BE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Розподіл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затрат –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251E9602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Вид транспорту – будь-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який</w:t>
            </w:r>
            <w:proofErr w:type="spellEnd"/>
          </w:p>
        </w:tc>
        <w:tc>
          <w:tcPr>
            <w:tcW w:w="31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216D87AF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 xml:space="preserve">Контроль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безпеки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перевірка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кількості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ваги,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розміру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пакування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маркування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доставка товару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узгодженого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пункту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страхування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час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користь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транзитних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 договором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витрати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оплачує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01FB0235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надати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покупцеві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страховий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поліс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або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інше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підтвердження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страхового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покриття</w:t>
            </w:r>
            <w:proofErr w:type="spellEnd"/>
          </w:p>
        </w:tc>
        <w:tc>
          <w:tcPr>
            <w:tcW w:w="24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5905AE0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Вивантаження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транзитних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 договором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витрати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оплачує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 xml:space="preserve">доставка з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поставки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</w:p>
        </w:tc>
      </w:tr>
      <w:tr w:rsidR="00130BFE" w:rsidRPr="00130BFE" w14:paraId="7745FB61" w14:textId="77777777" w:rsidTr="00130BFE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bottom"/>
            <w:hideMark/>
          </w:tcPr>
          <w:p w14:paraId="7F79C654" w14:textId="77777777" w:rsidR="00130BFE" w:rsidRPr="00130BFE" w:rsidRDefault="00130BFE" w:rsidP="00130BFE">
            <w:pPr>
              <w:spacing w:after="0" w:line="240" w:lineRule="auto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</w:p>
        </w:tc>
        <w:tc>
          <w:tcPr>
            <w:tcW w:w="9075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DBA8324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Особливості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застосування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: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 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цей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зручно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застосовувати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для доставки товару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використовується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більше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одного виду транспорту.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сторони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хочуть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щоб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переходили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не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першому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а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наступному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етапі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тоді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це треба прямо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вказати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контракті</w:t>
            </w:r>
            <w:proofErr w:type="spellEnd"/>
          </w:p>
        </w:tc>
      </w:tr>
      <w:tr w:rsidR="00130BFE" w:rsidRPr="00130BFE" w14:paraId="1D76B2AA" w14:textId="77777777" w:rsidTr="00130BFE">
        <w:tc>
          <w:tcPr>
            <w:tcW w:w="9480" w:type="dxa"/>
            <w:gridSpan w:val="4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2C9A974" w14:textId="77777777" w:rsidR="00130BFE" w:rsidRPr="00130BFE" w:rsidRDefault="00130BFE" w:rsidP="00130BFE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Категорія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D (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повинен нести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всі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витрати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й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ризики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необхідні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для доставки товару до пункту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)</w:t>
            </w:r>
          </w:p>
        </w:tc>
      </w:tr>
      <w:tr w:rsidR="00130BFE" w:rsidRPr="00130BFE" w14:paraId="7D874D28" w14:textId="77777777" w:rsidTr="00130BFE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DB0F055" w14:textId="77777777" w:rsidR="00130BFE" w:rsidRPr="00130BFE" w:rsidRDefault="00130BFE" w:rsidP="00130BFE">
            <w:pPr>
              <w:spacing w:before="240" w:after="24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9</w:t>
            </w:r>
          </w:p>
        </w:tc>
        <w:tc>
          <w:tcPr>
            <w:tcW w:w="35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800DF25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DAP (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Delivered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at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Place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) – поставка в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пункті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&lt;...&gt;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 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назва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пункту).</w:t>
            </w:r>
          </w:p>
          <w:p w14:paraId="147D686F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 xml:space="preserve">Поставка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відбулася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момент, коли товар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наданий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розпорядження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ТЗ,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прибув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і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готовий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узгодженому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2A1C2392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Перехід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–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пункті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за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винятком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пов’язаних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із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невиконанням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покупцем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час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148D6930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Розподіл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затрат –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пункті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1009256A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Вид транспорту – будь-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який</w:t>
            </w:r>
            <w:proofErr w:type="spellEnd"/>
          </w:p>
        </w:tc>
        <w:tc>
          <w:tcPr>
            <w:tcW w:w="31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9ED1837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 xml:space="preserve">Контроль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безпеки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перевірка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кількості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ваги,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розміру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пакування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маркування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доставка товару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узгодженого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пункту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транзитних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 договором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витрати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оплачує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27C6E57A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подати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покупцеві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відповідний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транспортний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документ</w:t>
            </w:r>
          </w:p>
        </w:tc>
        <w:tc>
          <w:tcPr>
            <w:tcW w:w="24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45E3797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Вивантаження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 xml:space="preserve">за договором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видатки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оплачує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</w:t>
            </w:r>
          </w:p>
        </w:tc>
      </w:tr>
      <w:tr w:rsidR="00130BFE" w:rsidRPr="00130BFE" w14:paraId="7F38FA3F" w14:textId="77777777" w:rsidTr="00130BFE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bottom"/>
            <w:hideMark/>
          </w:tcPr>
          <w:p w14:paraId="4AA7E54D" w14:textId="77777777" w:rsidR="00130BFE" w:rsidRPr="00130BFE" w:rsidRDefault="00130BFE" w:rsidP="00130BFE">
            <w:pPr>
              <w:spacing w:after="0" w:line="240" w:lineRule="auto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</w:p>
        </w:tc>
        <w:tc>
          <w:tcPr>
            <w:tcW w:w="9075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261498DC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Особливості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застосування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: 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цей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доцільно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застосовувати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використовується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кілька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видів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транспорту.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виконувати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формальності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час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увезення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країни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сторони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хочуть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це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робити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тоді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слід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використовувати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DDP</w:t>
            </w:r>
          </w:p>
        </w:tc>
      </w:tr>
      <w:tr w:rsidR="00130BFE" w:rsidRPr="00130BFE" w14:paraId="45EC5258" w14:textId="77777777" w:rsidTr="00130BFE">
        <w:tc>
          <w:tcPr>
            <w:tcW w:w="4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7E54A48" w14:textId="77777777" w:rsidR="00130BFE" w:rsidRPr="00130BFE" w:rsidRDefault="00130BFE" w:rsidP="00130BFE">
            <w:pPr>
              <w:spacing w:before="240" w:after="24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10</w:t>
            </w:r>
          </w:p>
        </w:tc>
        <w:tc>
          <w:tcPr>
            <w:tcW w:w="35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25F8EB0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DPU (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Delivered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at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Place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Unloaded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) – поставка на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місце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вивантаження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.</w:t>
            </w:r>
          </w:p>
          <w:p w14:paraId="66F1CA4E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уважає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свої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 поставки, коли товар,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випущений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режимі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розвантажений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із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прибулого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ТЗ і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наданий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розпорядження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зазначеному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64EB0067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Перехід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–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після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зазначеному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термінала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267B691A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Розподіл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затрат –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пункті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677BE3AF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Вид транспорту – будь-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який</w:t>
            </w:r>
            <w:proofErr w:type="spellEnd"/>
          </w:p>
        </w:tc>
        <w:tc>
          <w:tcPr>
            <w:tcW w:w="31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6DA973B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 xml:space="preserve">Контроль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безпеки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перевірка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кількості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ваги,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розміру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пакування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маркування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доставка товару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узгодженого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термінала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транзитних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товару.</w:t>
            </w:r>
          </w:p>
          <w:p w14:paraId="5AE86010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повинен подати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покупцеві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будь-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документ 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наприклад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копію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транспортного документа,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підтверджує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і дату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),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необхідний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для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одержання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товару, за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свій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рахунок</w:t>
            </w:r>
            <w:proofErr w:type="spellEnd"/>
          </w:p>
        </w:tc>
        <w:tc>
          <w:tcPr>
            <w:tcW w:w="24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FBA3768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формальностей, 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також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необхідних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дій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після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</w:t>
            </w:r>
          </w:p>
        </w:tc>
      </w:tr>
      <w:tr w:rsidR="00130BFE" w:rsidRPr="00130BFE" w14:paraId="0F8F0703" w14:textId="77777777" w:rsidTr="00130BFE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bottom"/>
            <w:hideMark/>
          </w:tcPr>
          <w:p w14:paraId="161FD157" w14:textId="77777777" w:rsidR="00130BFE" w:rsidRPr="00130BFE" w:rsidRDefault="00130BFE" w:rsidP="00130BFE">
            <w:pPr>
              <w:spacing w:after="0" w:line="240" w:lineRule="auto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</w:p>
        </w:tc>
        <w:tc>
          <w:tcPr>
            <w:tcW w:w="9075" w:type="dxa"/>
            <w:gridSpan w:val="3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DAEA223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Особливості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застосування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: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 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цей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доцільно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застосовувати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використовується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кілька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видів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транспорту.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DPU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прийшов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зміну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DAT,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щоб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забезпечити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більшу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гнучкість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визначенні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доставки товару.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Тепер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продавцеві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покупцеві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можна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погодити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будь-яке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для доставки товару, а не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тільки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конкретному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терміналі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.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контракті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рекомендується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точно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вказати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доставки товару, тому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цього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пункту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несе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</w:p>
        </w:tc>
      </w:tr>
      <w:tr w:rsidR="00130BFE" w:rsidRPr="00130BFE" w14:paraId="53C795E8" w14:textId="77777777" w:rsidTr="00130BFE">
        <w:tc>
          <w:tcPr>
            <w:tcW w:w="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D0CBFF3" w14:textId="77777777" w:rsidR="00130BFE" w:rsidRPr="00130BFE" w:rsidRDefault="00130BFE" w:rsidP="00130BFE">
            <w:pPr>
              <w:spacing w:before="240" w:after="24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11</w:t>
            </w:r>
          </w:p>
        </w:tc>
        <w:tc>
          <w:tcPr>
            <w:tcW w:w="35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D2CC084" w14:textId="77777777" w:rsidR="00130BFE" w:rsidRPr="00130BFE" w:rsidRDefault="00130BFE" w:rsidP="00130BFE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DDP (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Delivered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Duty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Paid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) – поставка з оплатою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мита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&lt;...&gt;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 (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назва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).</w:t>
            </w:r>
          </w:p>
          <w:p w14:paraId="68E26FE0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Поставка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відбулася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момент, коли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надав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покупцеві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пройшов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очищення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для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й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готовий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51EAE22E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повідомити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покупця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про час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прибуття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та подати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йому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документи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дозволяють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прийняти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товар.</w:t>
            </w:r>
          </w:p>
          <w:p w14:paraId="3AF3D794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Перехід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ризиків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– у момент поставки.</w:t>
            </w:r>
          </w:p>
          <w:p w14:paraId="37A20C94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Розподіл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затрат –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пункті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.</w:t>
            </w:r>
          </w:p>
          <w:p w14:paraId="5EC94C00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Вид транспорту – будь-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який</w:t>
            </w:r>
            <w:proofErr w:type="spellEnd"/>
          </w:p>
        </w:tc>
        <w:tc>
          <w:tcPr>
            <w:tcW w:w="31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B758BB7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 xml:space="preserve">Контроль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безпеки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перевірка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кількості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ваги,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розміру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пакування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маркування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формальностей; доставка товару до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виконання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транзитних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формальностей,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сплата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;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сплата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будь-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яких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податків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зокрема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ПДВ,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справляються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час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інше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прямо не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погоджене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контракті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(у такому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випадку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контракті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роблять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застереження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– DDP без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сплати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ПДВ)</w:t>
            </w:r>
          </w:p>
        </w:tc>
        <w:tc>
          <w:tcPr>
            <w:tcW w:w="24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77DE504" w14:textId="77777777" w:rsidR="00130BFE" w:rsidRPr="00130BFE" w:rsidRDefault="00130BFE" w:rsidP="00130BFE">
            <w:pPr>
              <w:spacing w:before="240" w:after="240" w:line="300" w:lineRule="atLeast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lastRenderedPageBreak/>
              <w:t>Розвантаження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товару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із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прибулого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ТЗ</w:t>
            </w:r>
          </w:p>
        </w:tc>
      </w:tr>
      <w:tr w:rsidR="00130BFE" w:rsidRPr="00130BFE" w14:paraId="58057FC1" w14:textId="77777777" w:rsidTr="00130BFE">
        <w:tc>
          <w:tcPr>
            <w:tcW w:w="9480" w:type="dxa"/>
            <w:gridSpan w:val="4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2ACEBBC0" w14:textId="77777777" w:rsidR="00130BFE" w:rsidRPr="00130BFE" w:rsidRDefault="00130BFE" w:rsidP="00130BFE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</w:pP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Особливості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застосування</w:t>
            </w:r>
            <w:proofErr w:type="spellEnd"/>
            <w:r w:rsidRPr="00130BFE">
              <w:rPr>
                <w:rFonts w:ascii="inherit" w:eastAsia="Times New Roman" w:hAnsi="inherit" w:cs="Arial"/>
                <w:b/>
                <w:bCs/>
                <w:color w:val="221E1F"/>
                <w:sz w:val="21"/>
                <w:szCs w:val="21"/>
                <w:bdr w:val="none" w:sz="0" w:space="0" w:color="auto" w:frame="1"/>
                <w:lang w:val="ru-UA" w:eastAsia="ru-UA"/>
              </w:rPr>
              <w:t>:</w:t>
            </w:r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 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продавець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зобов’язаний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виконувати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формальності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як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час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експорту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так і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під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час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Водночас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у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нього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можуть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бути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труднощі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в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країні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імпорту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якщо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він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наприклад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не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зареєстрований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там.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Щоб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продавцеві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не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довелося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виконувати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імпортні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митні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формальності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й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місце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доставки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залишилося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місцем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призначення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договірні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сторони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>можуть</w:t>
            </w:r>
            <w:proofErr w:type="spellEnd"/>
            <w:r w:rsidRPr="00130BFE">
              <w:rPr>
                <w:rFonts w:ascii="Arial" w:eastAsia="Times New Roman" w:hAnsi="Arial" w:cs="Arial"/>
                <w:color w:val="221E1F"/>
                <w:sz w:val="21"/>
                <w:szCs w:val="21"/>
                <w:lang w:val="ru-UA" w:eastAsia="ru-UA"/>
              </w:rPr>
              <w:t xml:space="preserve"> обрати базис DAP</w:t>
            </w:r>
          </w:p>
        </w:tc>
      </w:tr>
    </w:tbl>
    <w:p w14:paraId="69899DB0" w14:textId="77777777" w:rsidR="00522294" w:rsidRPr="00130BFE" w:rsidRDefault="00522294" w:rsidP="00130BFE">
      <w:pPr>
        <w:spacing w:after="0" w:line="330" w:lineRule="atLeast"/>
        <w:jc w:val="both"/>
        <w:textAlignment w:val="baseline"/>
        <w:rPr>
          <w:lang w:val="ru-UA"/>
        </w:rPr>
      </w:pPr>
      <w:bookmarkStart w:id="0" w:name="_GoBack"/>
      <w:bookmarkEnd w:id="0"/>
    </w:p>
    <w:sectPr w:rsidR="00522294" w:rsidRPr="00130BFE" w:rsidSect="00130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A1B19"/>
    <w:multiLevelType w:val="multilevel"/>
    <w:tmpl w:val="8E8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DF"/>
    <w:rsid w:val="00130BFE"/>
    <w:rsid w:val="00522294"/>
    <w:rsid w:val="0072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6670-521E-4544-AE3D-82F94A16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paragraph" w:styleId="3">
    <w:name w:val="heading 3"/>
    <w:basedOn w:val="a"/>
    <w:link w:val="30"/>
    <w:uiPriority w:val="9"/>
    <w:qFormat/>
    <w:rsid w:val="00130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paragraph" w:styleId="5">
    <w:name w:val="heading 5"/>
    <w:basedOn w:val="a"/>
    <w:link w:val="50"/>
    <w:uiPriority w:val="9"/>
    <w:qFormat/>
    <w:rsid w:val="00130B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BFE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rsid w:val="00130BFE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customStyle="1" w:styleId="50">
    <w:name w:val="Заголовок 5 Знак"/>
    <w:basedOn w:val="a0"/>
    <w:link w:val="5"/>
    <w:uiPriority w:val="9"/>
    <w:rsid w:val="00130BFE"/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character" w:styleId="a3">
    <w:name w:val="Strong"/>
    <w:basedOn w:val="a0"/>
    <w:uiPriority w:val="22"/>
    <w:qFormat/>
    <w:rsid w:val="00130BFE"/>
    <w:rPr>
      <w:b/>
      <w:bCs/>
    </w:rPr>
  </w:style>
  <w:style w:type="paragraph" w:styleId="a4">
    <w:name w:val="Normal (Web)"/>
    <w:basedOn w:val="a"/>
    <w:uiPriority w:val="99"/>
    <w:semiHidden/>
    <w:unhideWhenUsed/>
    <w:rsid w:val="001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5">
    <w:name w:val="Hyperlink"/>
    <w:basedOn w:val="a0"/>
    <w:uiPriority w:val="99"/>
    <w:semiHidden/>
    <w:unhideWhenUsed/>
    <w:rsid w:val="00130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5272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2404</Words>
  <Characters>13707</Characters>
  <Application>Microsoft Office Word</Application>
  <DocSecurity>0</DocSecurity>
  <Lines>114</Lines>
  <Paragraphs>32</Paragraphs>
  <ScaleCrop>false</ScaleCrop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2023-10-31T21:07:00Z</dcterms:created>
  <dcterms:modified xsi:type="dcterms:W3CDTF">2023-10-31T21:07:00Z</dcterms:modified>
</cp:coreProperties>
</file>