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0197" w14:textId="77777777" w:rsidR="00A86887" w:rsidRPr="00A8688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bookmarkStart w:id="0" w:name="_Hlk162953934"/>
      <w:r w:rsidRPr="00E22717">
        <w:rPr>
          <w:rFonts w:eastAsia="Times New Roman"/>
          <w:sz w:val="24"/>
          <w:szCs w:val="24"/>
          <w:lang w:val="ru-RU"/>
        </w:rPr>
        <w:t>«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Портфельна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теорія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» (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portfolio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theory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) –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це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теорія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фінансових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, в межах якої з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допомогою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статистичних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методів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здійснюються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найбільш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вигідний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розподіл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портфеля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цінних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паперів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оцінка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прибутку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.</w:t>
      </w:r>
    </w:p>
    <w:p w14:paraId="1D24F332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Аналіз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може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мати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таку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послідовність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:</w:t>
      </w:r>
    </w:p>
    <w:p w14:paraId="2D9289E0" w14:textId="77777777" w:rsidR="00A86887" w:rsidRPr="00A86887" w:rsidRDefault="00A86887" w:rsidP="00E22717">
      <w:pPr>
        <w:pStyle w:val="ab"/>
        <w:numPr>
          <w:ilvl w:val="0"/>
          <w:numId w:val="3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ідентифікація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ризиків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визначення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чинників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збільшують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зменшують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ступінь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певного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виду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69C01F81" w14:textId="77777777" w:rsidR="00A86887" w:rsidRPr="00A86887" w:rsidRDefault="00A86887" w:rsidP="00E22717">
      <w:pPr>
        <w:pStyle w:val="ab"/>
        <w:numPr>
          <w:ilvl w:val="0"/>
          <w:numId w:val="3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дослідження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виявлених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внутрішніх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зовнішніх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чинників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0A857C7F" w14:textId="77777777" w:rsidR="00A86887" w:rsidRPr="00A86887" w:rsidRDefault="00A86887" w:rsidP="00E22717">
      <w:pPr>
        <w:pStyle w:val="ab"/>
        <w:numPr>
          <w:ilvl w:val="0"/>
          <w:numId w:val="3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оцінка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певного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виду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з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використанням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двох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більше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підходів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якісного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кількісного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3E05C571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А</w:t>
      </w:r>
      <w:r w:rsidRPr="00E22717">
        <w:rPr>
          <w:rFonts w:eastAsia="Times New Roman"/>
          <w:sz w:val="24"/>
          <w:szCs w:val="24"/>
          <w:lang w:val="ru-RU"/>
        </w:rPr>
        <w:t>наліз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чутливості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належить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до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кількісних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методів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</w:p>
    <w:p w14:paraId="7E744774" w14:textId="77777777" w:rsidR="00A86887" w:rsidRPr="00A86887" w:rsidRDefault="00A86887" w:rsidP="00E22717">
      <w:pPr>
        <w:pStyle w:val="06"/>
        <w:rPr>
          <w:rFonts w:asciiTheme="minorHAnsi" w:hAnsiTheme="minorHAnsi" w:cstheme="minorHAnsi"/>
        </w:rPr>
      </w:pPr>
      <w:proofErr w:type="spellStart"/>
      <w:r w:rsidRPr="00A86887">
        <w:rPr>
          <w:rFonts w:asciiTheme="minorHAnsi" w:hAnsiTheme="minorHAnsi" w:cstheme="minorHAnsi"/>
        </w:rPr>
        <w:t>Безпека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інвестиційних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вкладень</w:t>
      </w:r>
      <w:proofErr w:type="spellEnd"/>
      <w:r w:rsidRPr="00A86887">
        <w:rPr>
          <w:rFonts w:asciiTheme="minorHAnsi" w:hAnsiTheme="minorHAnsi" w:cstheme="minorHAnsi"/>
        </w:rPr>
        <w:t xml:space="preserve"> – </w:t>
      </w:r>
      <w:proofErr w:type="spellStart"/>
      <w:r w:rsidRPr="00A86887">
        <w:rPr>
          <w:rFonts w:asciiTheme="minorHAnsi" w:hAnsiTheme="minorHAnsi" w:cstheme="minorHAnsi"/>
        </w:rPr>
        <w:t>це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невразливість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інвестицій</w:t>
      </w:r>
      <w:proofErr w:type="spellEnd"/>
      <w:r w:rsidRPr="00A86887">
        <w:rPr>
          <w:rFonts w:asciiTheme="minorHAnsi" w:hAnsiTheme="minorHAnsi" w:cstheme="minorHAnsi"/>
        </w:rPr>
        <w:t xml:space="preserve"> до </w:t>
      </w:r>
      <w:proofErr w:type="spellStart"/>
      <w:r w:rsidRPr="00A86887">
        <w:rPr>
          <w:rFonts w:asciiTheme="minorHAnsi" w:hAnsiTheme="minorHAnsi" w:cstheme="minorHAnsi"/>
        </w:rPr>
        <w:t>потрясінь</w:t>
      </w:r>
      <w:proofErr w:type="spellEnd"/>
      <w:r w:rsidRPr="00A86887">
        <w:rPr>
          <w:rFonts w:asciiTheme="minorHAnsi" w:hAnsiTheme="minorHAnsi" w:cstheme="minorHAnsi"/>
        </w:rPr>
        <w:t xml:space="preserve"> на ринку </w:t>
      </w:r>
      <w:proofErr w:type="spellStart"/>
      <w:r w:rsidRPr="00A86887">
        <w:rPr>
          <w:rFonts w:asciiTheme="minorHAnsi" w:hAnsiTheme="minorHAnsi" w:cstheme="minorHAnsi"/>
        </w:rPr>
        <w:t>інвестиційного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капіталу</w:t>
      </w:r>
      <w:proofErr w:type="spellEnd"/>
      <w:r w:rsidRPr="00A86887">
        <w:rPr>
          <w:rFonts w:asciiTheme="minorHAnsi" w:hAnsiTheme="minorHAnsi" w:cstheme="minorHAnsi"/>
        </w:rPr>
        <w:t>;</w:t>
      </w:r>
    </w:p>
    <w:p w14:paraId="4DE63150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Бізнес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-план –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це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r w:rsidRPr="00E22717">
        <w:rPr>
          <w:rFonts w:eastAsia="Times New Roman"/>
          <w:sz w:val="24"/>
          <w:szCs w:val="24"/>
          <w:lang w:val="ru-RU"/>
        </w:rPr>
        <w:t xml:space="preserve"> </w:t>
      </w:r>
      <w:r w:rsidRPr="00A86887">
        <w:rPr>
          <w:rFonts w:eastAsia="Times New Roman"/>
          <w:sz w:val="24"/>
          <w:szCs w:val="24"/>
          <w:lang w:val="ru-RU"/>
        </w:rPr>
        <w:t>д</w:t>
      </w:r>
      <w:r w:rsidRPr="00E22717">
        <w:rPr>
          <w:rFonts w:eastAsia="Times New Roman"/>
          <w:sz w:val="24"/>
          <w:szCs w:val="24"/>
          <w:lang w:val="ru-RU"/>
        </w:rPr>
        <w:t xml:space="preserve">окумент,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який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призначений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для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ініціатора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проєкту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потенційних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інвесторів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інших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учасників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проєкту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12FEB3CA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Бізнес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-план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проєкту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–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це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виклад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для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потенційного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партнера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інвестора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результатів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маркетингового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дослідження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обґрунтування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стратегії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освоєння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ринку та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очікуваних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фінансових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результатів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50440B2C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Д</w:t>
      </w:r>
      <w:r w:rsidRPr="00E22717">
        <w:rPr>
          <w:rFonts w:eastAsia="Times New Roman"/>
          <w:sz w:val="24"/>
          <w:szCs w:val="24"/>
          <w:lang w:val="ru-RU"/>
        </w:rPr>
        <w:t>ані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бухгалтерського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обліку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звітності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r w:rsidRPr="00E22717">
        <w:rPr>
          <w:rFonts w:eastAsia="Times New Roman"/>
          <w:sz w:val="24"/>
          <w:szCs w:val="24"/>
          <w:lang w:val="ru-RU"/>
        </w:rPr>
        <w:t>належать</w:t>
      </w:r>
      <w:r w:rsidRPr="00A86887">
        <w:rPr>
          <w:rFonts w:eastAsia="Times New Roman"/>
          <w:sz w:val="24"/>
          <w:szCs w:val="24"/>
          <w:lang w:val="ru-RU"/>
        </w:rPr>
        <w:t xml:space="preserve"> до </w:t>
      </w:r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джерел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внутрішньої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інформації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даних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</w:p>
    <w:p w14:paraId="5D6D7910" w14:textId="77777777" w:rsidR="00A86887" w:rsidRPr="00A86887" w:rsidRDefault="00A86887" w:rsidP="00E22717">
      <w:pPr>
        <w:pStyle w:val="06"/>
        <w:rPr>
          <w:rFonts w:asciiTheme="minorHAnsi" w:hAnsiTheme="minorHAnsi" w:cstheme="minorHAnsi"/>
        </w:rPr>
      </w:pPr>
      <w:proofErr w:type="spellStart"/>
      <w:r w:rsidRPr="00A86887">
        <w:rPr>
          <w:rFonts w:asciiTheme="minorHAnsi" w:hAnsiTheme="minorHAnsi" w:cstheme="minorHAnsi"/>
        </w:rPr>
        <w:t>Диверсифікація</w:t>
      </w:r>
      <w:proofErr w:type="spellEnd"/>
      <w:r w:rsidRPr="00A86887">
        <w:rPr>
          <w:rFonts w:asciiTheme="minorHAnsi" w:hAnsiTheme="minorHAnsi" w:cstheme="minorHAnsi"/>
        </w:rPr>
        <w:t xml:space="preserve"> портфеля </w:t>
      </w:r>
      <w:proofErr w:type="spellStart"/>
      <w:r w:rsidRPr="00A86887">
        <w:rPr>
          <w:rFonts w:asciiTheme="minorHAnsi" w:hAnsiTheme="minorHAnsi" w:cstheme="minorHAnsi"/>
        </w:rPr>
        <w:t>цінних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паперів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знижує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рівень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ризику</w:t>
      </w:r>
      <w:proofErr w:type="spellEnd"/>
      <w:r w:rsidRPr="00A86887">
        <w:rPr>
          <w:rFonts w:asciiTheme="minorHAnsi" w:hAnsiTheme="minorHAnsi" w:cstheme="minorHAnsi"/>
        </w:rPr>
        <w:t>;</w:t>
      </w:r>
    </w:p>
    <w:p w14:paraId="4BCA5219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r w:rsidRPr="00E22717">
        <w:rPr>
          <w:rFonts w:eastAsia="Times New Roman"/>
          <w:sz w:val="24"/>
          <w:szCs w:val="24"/>
          <w:lang w:val="ru-RU"/>
        </w:rPr>
        <w:t xml:space="preserve">До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фінансових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належать:</w:t>
      </w:r>
    </w:p>
    <w:p w14:paraId="2BBC6984" w14:textId="77777777" w:rsidR="00A86887" w:rsidRPr="00A86887" w:rsidRDefault="00A86887" w:rsidP="00E22717">
      <w:pPr>
        <w:pStyle w:val="ab"/>
        <w:numPr>
          <w:ilvl w:val="0"/>
          <w:numId w:val="4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валютний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ризик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втрачених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фінансових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зисків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;  </w:t>
      </w:r>
    </w:p>
    <w:p w14:paraId="7628BE06" w14:textId="77777777" w:rsidR="00A86887" w:rsidRPr="00A86887" w:rsidRDefault="00A86887" w:rsidP="00E22717">
      <w:pPr>
        <w:pStyle w:val="ab"/>
        <w:numPr>
          <w:ilvl w:val="0"/>
          <w:numId w:val="4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кредитний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ризик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втрачених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фінансових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зисків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;  </w:t>
      </w:r>
    </w:p>
    <w:p w14:paraId="140EDA8D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r w:rsidRPr="00E22717">
        <w:rPr>
          <w:rFonts w:eastAsia="Times New Roman"/>
          <w:sz w:val="24"/>
          <w:szCs w:val="24"/>
          <w:lang w:val="ru-RU"/>
        </w:rPr>
        <w:t xml:space="preserve">До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якісних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методів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належать:</w:t>
      </w:r>
    </w:p>
    <w:p w14:paraId="18E31C21" w14:textId="77777777" w:rsidR="00A86887" w:rsidRPr="00A86887" w:rsidRDefault="00A86887" w:rsidP="00E22717">
      <w:pPr>
        <w:pStyle w:val="ab"/>
        <w:numPr>
          <w:ilvl w:val="0"/>
          <w:numId w:val="5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r w:rsidRPr="00A86887">
        <w:rPr>
          <w:rFonts w:eastAsia="Times New Roman"/>
          <w:sz w:val="24"/>
          <w:szCs w:val="24"/>
          <w:lang w:val="ru-RU"/>
        </w:rPr>
        <w:t xml:space="preserve">метод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аналогій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5BBAEDB6" w14:textId="77777777" w:rsidR="00A86887" w:rsidRPr="00A86887" w:rsidRDefault="00A86887" w:rsidP="00E22717">
      <w:pPr>
        <w:pStyle w:val="ab"/>
        <w:numPr>
          <w:ilvl w:val="0"/>
          <w:numId w:val="5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r w:rsidRPr="00A86887">
        <w:rPr>
          <w:rFonts w:eastAsia="Times New Roman"/>
          <w:sz w:val="24"/>
          <w:szCs w:val="24"/>
          <w:lang w:val="ru-RU"/>
        </w:rPr>
        <w:t>причинно-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наслідковий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аналіз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;  </w:t>
      </w:r>
    </w:p>
    <w:p w14:paraId="2D3E4326" w14:textId="77777777" w:rsidR="00A86887" w:rsidRPr="00A86887" w:rsidRDefault="00A86887" w:rsidP="00E22717">
      <w:pPr>
        <w:pStyle w:val="ab"/>
        <w:numPr>
          <w:ilvl w:val="0"/>
          <w:numId w:val="5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r w:rsidRPr="00A86887">
        <w:rPr>
          <w:rFonts w:eastAsia="Times New Roman"/>
          <w:sz w:val="24"/>
          <w:szCs w:val="24"/>
          <w:lang w:val="ru-RU"/>
        </w:rPr>
        <w:t>метод «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події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–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наслідки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»;</w:t>
      </w:r>
    </w:p>
    <w:p w14:paraId="48A2CF16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r w:rsidRPr="00E22717">
        <w:rPr>
          <w:rFonts w:eastAsia="Times New Roman"/>
          <w:sz w:val="24"/>
          <w:szCs w:val="24"/>
          <w:lang w:val="ru-RU"/>
        </w:rPr>
        <w:t xml:space="preserve">За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рівнем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ліквідності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вирізняють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високо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-,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середньо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 та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низьколіквідний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типи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портфелів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</w:p>
    <w:p w14:paraId="28EF675E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Зовнішньою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функцією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бізнес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-плану </w:t>
      </w:r>
      <w:r w:rsidRPr="00A86887">
        <w:rPr>
          <w:rFonts w:eastAsia="Times New Roman"/>
          <w:sz w:val="24"/>
          <w:szCs w:val="24"/>
          <w:lang w:val="ru-RU"/>
        </w:rPr>
        <w:t xml:space="preserve"> є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ознайомлення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різних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суб’єктів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ділового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світу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із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сутністю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таосновними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аспектами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реалізації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конкретної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підприємницької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ідеї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.</w:t>
      </w:r>
      <w:r w:rsidRPr="00E22717">
        <w:rPr>
          <w:rFonts w:eastAsia="Times New Roman"/>
          <w:sz w:val="24"/>
          <w:szCs w:val="24"/>
          <w:lang w:val="ru-RU"/>
        </w:rPr>
        <w:t xml:space="preserve">  </w:t>
      </w:r>
    </w:p>
    <w:p w14:paraId="035D5BF7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Інвестиційний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портфель –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це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r w:rsidRPr="00E22717">
        <w:rPr>
          <w:rFonts w:eastAsia="Times New Roman"/>
          <w:sz w:val="24"/>
          <w:szCs w:val="24"/>
          <w:lang w:val="ru-RU"/>
        </w:rPr>
        <w:t xml:space="preserve">сформована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сукупність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фінансових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інструментів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з метою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здійснення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фінансового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інвестування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відповідно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до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розробленої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політики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2F9DCBE7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Критеріями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оцінки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конкурентів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є:</w:t>
      </w:r>
    </w:p>
    <w:p w14:paraId="53A42719" w14:textId="77777777" w:rsidR="00A86887" w:rsidRPr="00A86887" w:rsidRDefault="00A86887" w:rsidP="00E22717">
      <w:pPr>
        <w:pStyle w:val="ab"/>
        <w:numPr>
          <w:ilvl w:val="0"/>
          <w:numId w:val="2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частка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продукції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на ринку;</w:t>
      </w:r>
    </w:p>
    <w:p w14:paraId="5B7CBD2D" w14:textId="77777777" w:rsidR="00A86887" w:rsidRPr="00A86887" w:rsidRDefault="00A86887" w:rsidP="00E22717">
      <w:pPr>
        <w:pStyle w:val="ab"/>
        <w:numPr>
          <w:ilvl w:val="0"/>
          <w:numId w:val="2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облаштованість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реалізаційних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пунктів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; 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ціна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якість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продукції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5B72520B" w14:textId="77777777" w:rsidR="00A86887" w:rsidRPr="00A86887" w:rsidRDefault="00A86887" w:rsidP="00E22717">
      <w:pPr>
        <w:pStyle w:val="ab"/>
        <w:numPr>
          <w:ilvl w:val="0"/>
          <w:numId w:val="2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переваги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продукції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конкурентів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. </w:t>
      </w:r>
    </w:p>
    <w:p w14:paraId="4BC26303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r w:rsidRPr="00A86887">
        <w:rPr>
          <w:rFonts w:eastAsia="Times New Roman"/>
          <w:sz w:val="24"/>
          <w:szCs w:val="24"/>
          <w:lang w:val="ru-RU"/>
        </w:rPr>
        <w:lastRenderedPageBreak/>
        <w:t>М</w:t>
      </w:r>
      <w:r w:rsidRPr="00E22717">
        <w:rPr>
          <w:rFonts w:eastAsia="Times New Roman"/>
          <w:sz w:val="24"/>
          <w:szCs w:val="24"/>
          <w:lang w:val="ru-RU"/>
        </w:rPr>
        <w:t>ет</w:t>
      </w:r>
      <w:r w:rsidRPr="00A86887">
        <w:rPr>
          <w:rFonts w:eastAsia="Times New Roman"/>
          <w:sz w:val="24"/>
          <w:szCs w:val="24"/>
          <w:lang w:val="ru-RU"/>
        </w:rPr>
        <w:t>ою</w:t>
      </w:r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бізнес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-плану</w:t>
      </w:r>
      <w:r w:rsidRPr="00A86887">
        <w:rPr>
          <w:rFonts w:eastAsia="Times New Roman"/>
          <w:sz w:val="24"/>
          <w:szCs w:val="24"/>
          <w:lang w:val="ru-RU"/>
        </w:rPr>
        <w:t xml:space="preserve"> є</w:t>
      </w:r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викладення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підприємницького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задуму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на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папері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7B5D3CF5" w14:textId="77777777" w:rsidR="00A86887" w:rsidRPr="00A86887" w:rsidRDefault="00A86887" w:rsidP="00E22717">
      <w:pPr>
        <w:pStyle w:val="06"/>
        <w:rPr>
          <w:rFonts w:asciiTheme="minorHAnsi" w:hAnsiTheme="minorHAnsi" w:cstheme="minorHAnsi"/>
        </w:rPr>
      </w:pPr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Організаційний</w:t>
      </w:r>
      <w:proofErr w:type="spellEnd"/>
      <w:r w:rsidRPr="00A86887">
        <w:rPr>
          <w:rFonts w:asciiTheme="minorHAnsi" w:hAnsiTheme="minorHAnsi" w:cstheme="minorHAnsi"/>
        </w:rPr>
        <w:t xml:space="preserve"> план </w:t>
      </w:r>
      <w:proofErr w:type="spellStart"/>
      <w:r w:rsidRPr="00A86887">
        <w:rPr>
          <w:rFonts w:asciiTheme="minorHAnsi" w:hAnsiTheme="minorHAnsi" w:cstheme="minorHAnsi"/>
        </w:rPr>
        <w:t>містить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географічне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розташування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майбутніх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підприємств</w:t>
      </w:r>
      <w:proofErr w:type="spellEnd"/>
      <w:r w:rsidRPr="00A86887">
        <w:rPr>
          <w:rFonts w:asciiTheme="minorHAnsi" w:hAnsiTheme="minorHAnsi" w:cstheme="minorHAnsi"/>
        </w:rPr>
        <w:t>;</w:t>
      </w:r>
    </w:p>
    <w:p w14:paraId="42F87F29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r w:rsidRPr="00E22717">
        <w:rPr>
          <w:rFonts w:eastAsia="Times New Roman"/>
          <w:sz w:val="24"/>
          <w:szCs w:val="24"/>
          <w:lang w:val="ru-RU"/>
        </w:rPr>
        <w:t xml:space="preserve">Оцінка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ефективності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портфеля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містить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періодичну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оцінку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як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отриманої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дохідності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, так і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показників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523320FC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Послідовність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насамперед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передбачає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аналіз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їх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потенційної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загрози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інвестуванню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0E853C44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r w:rsidRPr="00E22717">
        <w:rPr>
          <w:rFonts w:eastAsia="Times New Roman"/>
          <w:sz w:val="24"/>
          <w:szCs w:val="24"/>
          <w:lang w:val="ru-RU"/>
        </w:rPr>
        <w:t xml:space="preserve">Принцип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диверсифікації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портфельного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інвестування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пе-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редбачає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зменшення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за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рахунок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того,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що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можливі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невисокі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доходи за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деякими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цінними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паперами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компенсуватимуться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високими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доходами за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іншими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;</w:t>
      </w:r>
    </w:p>
    <w:p w14:paraId="2865B294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ind w:left="357" w:hanging="357"/>
        <w:outlineLvl w:val="0"/>
        <w:rPr>
          <w:rFonts w:eastAsia="Times New Roman"/>
          <w:sz w:val="24"/>
          <w:szCs w:val="24"/>
          <w:lang w:val="ru-RU"/>
        </w:rPr>
      </w:pPr>
      <w:r w:rsidRPr="00E22717">
        <w:rPr>
          <w:rFonts w:eastAsia="Times New Roman"/>
          <w:sz w:val="24"/>
          <w:szCs w:val="24"/>
          <w:lang w:val="ru-RU"/>
        </w:rPr>
        <w:t xml:space="preserve">Причини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виникнення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інвестиційних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ризиків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нереалізації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продукції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:</w:t>
      </w:r>
    </w:p>
    <w:p w14:paraId="6080A23E" w14:textId="77777777" w:rsidR="00A86887" w:rsidRPr="00A86887" w:rsidRDefault="00A86887" w:rsidP="00E22717">
      <w:pPr>
        <w:pStyle w:val="ab"/>
        <w:numPr>
          <w:ilvl w:val="0"/>
          <w:numId w:val="6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відмова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традиційних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постачальників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від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укладання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договорів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41DD137E" w14:textId="77777777" w:rsidR="00A86887" w:rsidRPr="00A86887" w:rsidRDefault="00A86887" w:rsidP="00E22717">
      <w:pPr>
        <w:pStyle w:val="ab"/>
        <w:numPr>
          <w:ilvl w:val="0"/>
          <w:numId w:val="6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неприйнятні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 для  підприємства 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умови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 договору  (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зокрема,ціни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);</w:t>
      </w:r>
    </w:p>
    <w:p w14:paraId="4616920F" w14:textId="0E12BF42" w:rsidR="00A86887" w:rsidRPr="00A86887" w:rsidRDefault="00A86887" w:rsidP="00A86887">
      <w:pPr>
        <w:pStyle w:val="ab"/>
        <w:numPr>
          <w:ilvl w:val="0"/>
          <w:numId w:val="6"/>
        </w:numPr>
        <w:tabs>
          <w:tab w:val="num" w:pos="360"/>
        </w:tabs>
        <w:spacing w:after="12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A86887">
        <w:rPr>
          <w:rFonts w:eastAsia="Times New Roman"/>
          <w:sz w:val="24"/>
          <w:szCs w:val="24"/>
          <w:lang w:val="ru-RU"/>
        </w:rPr>
        <w:t>перехід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традиційних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постачальників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на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випуск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іншої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A86887">
        <w:rPr>
          <w:rFonts w:eastAsia="Times New Roman"/>
          <w:sz w:val="24"/>
          <w:szCs w:val="24"/>
          <w:lang w:val="ru-RU"/>
        </w:rPr>
        <w:t>продукції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>;</w:t>
      </w:r>
    </w:p>
    <w:p w14:paraId="6AEE3498" w14:textId="77777777" w:rsidR="00A86887" w:rsidRPr="00A86887" w:rsidRDefault="00A86887" w:rsidP="00E22717">
      <w:pPr>
        <w:pStyle w:val="06"/>
        <w:rPr>
          <w:rFonts w:asciiTheme="minorHAnsi" w:hAnsiTheme="minorHAnsi" w:cstheme="minorHAnsi"/>
        </w:rPr>
      </w:pPr>
      <w:r w:rsidRPr="00A86887">
        <w:rPr>
          <w:rFonts w:asciiTheme="minorHAnsi" w:hAnsiTheme="minorHAnsi" w:cstheme="minorHAnsi"/>
        </w:rPr>
        <w:t>П</w:t>
      </w:r>
      <w:r w:rsidRPr="00A86887">
        <w:rPr>
          <w:rFonts w:asciiTheme="minorHAnsi" w:hAnsiTheme="minorHAnsi" w:cstheme="minorHAnsi"/>
        </w:rPr>
        <w:t>ричинно-</w:t>
      </w:r>
      <w:proofErr w:type="spellStart"/>
      <w:r w:rsidRPr="00A86887">
        <w:rPr>
          <w:rFonts w:asciiTheme="minorHAnsi" w:hAnsiTheme="minorHAnsi" w:cstheme="minorHAnsi"/>
        </w:rPr>
        <w:t>наслідковий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аналіз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поєдну</w:t>
      </w:r>
      <w:r w:rsidRPr="00A86887">
        <w:rPr>
          <w:rFonts w:asciiTheme="minorHAnsi" w:hAnsiTheme="minorHAnsi" w:cstheme="minorHAnsi"/>
        </w:rPr>
        <w:t>є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кількісний</w:t>
      </w:r>
      <w:proofErr w:type="spellEnd"/>
      <w:r w:rsidRPr="00A86887">
        <w:rPr>
          <w:rFonts w:asciiTheme="minorHAnsi" w:hAnsiTheme="minorHAnsi" w:cstheme="minorHAnsi"/>
        </w:rPr>
        <w:t xml:space="preserve"> і </w:t>
      </w:r>
      <w:proofErr w:type="spellStart"/>
      <w:r w:rsidRPr="00A86887">
        <w:rPr>
          <w:rFonts w:asciiTheme="minorHAnsi" w:hAnsiTheme="minorHAnsi" w:cstheme="minorHAnsi"/>
        </w:rPr>
        <w:t>якісний</w:t>
      </w:r>
      <w:proofErr w:type="spellEnd"/>
      <w:r w:rsidRPr="00A86887">
        <w:rPr>
          <w:rFonts w:asciiTheme="minorHAnsi" w:hAnsiTheme="minorHAnsi" w:cstheme="minorHAnsi"/>
        </w:rPr>
        <w:t xml:space="preserve"> </w:t>
      </w:r>
      <w:proofErr w:type="spellStart"/>
      <w:r w:rsidRPr="00A86887">
        <w:rPr>
          <w:rFonts w:asciiTheme="minorHAnsi" w:hAnsiTheme="minorHAnsi" w:cstheme="minorHAnsi"/>
        </w:rPr>
        <w:t>аналізи</w:t>
      </w:r>
      <w:proofErr w:type="spellEnd"/>
      <w:r w:rsidRPr="00A86887">
        <w:rPr>
          <w:rFonts w:asciiTheme="minorHAnsi" w:hAnsiTheme="minorHAnsi" w:cstheme="minorHAnsi"/>
        </w:rPr>
        <w:t>:</w:t>
      </w:r>
    </w:p>
    <w:p w14:paraId="4F64A1AE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Рівень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можна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поділити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на</w:t>
      </w:r>
      <w:r w:rsidRPr="00A86887">
        <w:rPr>
          <w:rFonts w:eastAsia="Times New Roman"/>
          <w:sz w:val="24"/>
          <w:szCs w:val="24"/>
          <w:lang w:val="ru-RU"/>
        </w:rPr>
        <w:t xml:space="preserve"> </w:t>
      </w:r>
      <w:r w:rsidRPr="00E22717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ризику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з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використанням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категорій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імовірності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та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статистичного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.</w:t>
      </w:r>
    </w:p>
    <w:p w14:paraId="629B70CB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Розробка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бізнес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-плану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інвестиційного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проєкту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 є 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складовою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r w:rsidRPr="00E22717">
        <w:rPr>
          <w:rFonts w:eastAsia="Times New Roman"/>
          <w:sz w:val="24"/>
          <w:szCs w:val="24"/>
          <w:lang w:val="ru-RU"/>
        </w:rPr>
        <w:t xml:space="preserve">остаточного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техніко-економічного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обґрунтування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>.</w:t>
      </w:r>
    </w:p>
    <w:bookmarkEnd w:id="0"/>
    <w:p w14:paraId="0042FAC2" w14:textId="77777777" w:rsidR="00A86887" w:rsidRPr="00E22717" w:rsidRDefault="00A86887" w:rsidP="00E22717">
      <w:pPr>
        <w:keepNext/>
        <w:numPr>
          <w:ilvl w:val="0"/>
          <w:numId w:val="1"/>
        </w:numPr>
        <w:spacing w:before="240" w:after="120" w:line="240" w:lineRule="auto"/>
        <w:outlineLvl w:val="0"/>
        <w:rPr>
          <w:rFonts w:eastAsia="Times New Roman"/>
          <w:sz w:val="24"/>
          <w:szCs w:val="24"/>
          <w:lang w:val="ru-RU"/>
        </w:rPr>
      </w:pPr>
      <w:proofErr w:type="spellStart"/>
      <w:r w:rsidRPr="00E22717">
        <w:rPr>
          <w:rFonts w:eastAsia="Times New Roman"/>
          <w:sz w:val="24"/>
          <w:szCs w:val="24"/>
          <w:lang w:val="ru-RU"/>
        </w:rPr>
        <w:t>Розробку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бізнес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-плану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можуть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здійснювати</w:t>
      </w:r>
      <w:proofErr w:type="spellEnd"/>
      <w:r w:rsidRPr="00A8688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сторонні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фахівці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 з </w:t>
      </w:r>
      <w:proofErr w:type="spellStart"/>
      <w:r w:rsidRPr="00E22717">
        <w:rPr>
          <w:rFonts w:eastAsia="Times New Roman"/>
          <w:sz w:val="24"/>
          <w:szCs w:val="24"/>
          <w:lang w:val="ru-RU"/>
        </w:rPr>
        <w:t>бізнес-планування</w:t>
      </w:r>
      <w:proofErr w:type="spellEnd"/>
      <w:r w:rsidRPr="00E22717">
        <w:rPr>
          <w:rFonts w:eastAsia="Times New Roman"/>
          <w:sz w:val="24"/>
          <w:szCs w:val="24"/>
          <w:lang w:val="ru-RU"/>
        </w:rPr>
        <w:t xml:space="preserve">;  </w:t>
      </w:r>
    </w:p>
    <w:sectPr w:rsidR="00A86887" w:rsidRPr="00E22717" w:rsidSect="00E2271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8C1"/>
    <w:multiLevelType w:val="hybridMultilevel"/>
    <w:tmpl w:val="E29C1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7AB"/>
    <w:multiLevelType w:val="hybridMultilevel"/>
    <w:tmpl w:val="EFA8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3E5B"/>
    <w:multiLevelType w:val="hybridMultilevel"/>
    <w:tmpl w:val="CD46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6EC7"/>
    <w:multiLevelType w:val="hybridMultilevel"/>
    <w:tmpl w:val="0CC8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5B1F3A"/>
    <w:multiLevelType w:val="hybridMultilevel"/>
    <w:tmpl w:val="3F60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1198">
    <w:abstractNumId w:val="4"/>
  </w:num>
  <w:num w:numId="2" w16cid:durableId="39745105">
    <w:abstractNumId w:val="3"/>
  </w:num>
  <w:num w:numId="3" w16cid:durableId="1072922287">
    <w:abstractNumId w:val="5"/>
  </w:num>
  <w:num w:numId="4" w16cid:durableId="1503547707">
    <w:abstractNumId w:val="0"/>
  </w:num>
  <w:num w:numId="5" w16cid:durableId="1828865332">
    <w:abstractNumId w:val="2"/>
  </w:num>
  <w:num w:numId="6" w16cid:durableId="15585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59"/>
    <w:rsid w:val="0032621A"/>
    <w:rsid w:val="00341859"/>
    <w:rsid w:val="005B17A3"/>
    <w:rsid w:val="00612EC7"/>
    <w:rsid w:val="00A86887"/>
    <w:rsid w:val="00AC5107"/>
    <w:rsid w:val="00AE64EC"/>
    <w:rsid w:val="00D87278"/>
    <w:rsid w:val="00E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139"/>
  <w15:chartTrackingRefBased/>
  <w15:docId w15:val="{A8881DF1-4265-4EDF-80B6-58312CC9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A"/>
    <w:pPr>
      <w:spacing w:after="0" w:line="360" w:lineRule="auto"/>
      <w:ind w:firstLine="720"/>
    </w:pPr>
  </w:style>
  <w:style w:type="paragraph" w:styleId="1">
    <w:name w:val="heading 1"/>
    <w:basedOn w:val="a"/>
    <w:next w:val="a"/>
    <w:link w:val="10"/>
    <w:uiPriority w:val="9"/>
    <w:qFormat/>
    <w:rsid w:val="00341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C5107"/>
    <w:pPr>
      <w:contextualSpacing/>
      <w:jc w:val="both"/>
    </w:pPr>
    <w:rPr>
      <w:rFonts w:eastAsiaTheme="majorEastAsia" w:cstheme="majorBidi"/>
      <w:kern w:val="28"/>
      <w:szCs w:val="56"/>
    </w:rPr>
  </w:style>
  <w:style w:type="character" w:customStyle="1" w:styleId="a4">
    <w:name w:val="Назва Знак"/>
    <w:basedOn w:val="a0"/>
    <w:link w:val="a3"/>
    <w:uiPriority w:val="10"/>
    <w:rsid w:val="00AC5107"/>
    <w:rPr>
      <w:rFonts w:ascii="Times New Roman" w:eastAsiaTheme="majorEastAsia" w:hAnsi="Times New Roman" w:cstheme="majorBidi"/>
      <w:kern w:val="28"/>
      <w:sz w:val="28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AC5107"/>
    <w:pPr>
      <w:numPr>
        <w:ilvl w:val="1"/>
      </w:numPr>
      <w:ind w:firstLine="709"/>
      <w:jc w:val="both"/>
    </w:pPr>
    <w:rPr>
      <w:rFonts w:eastAsiaTheme="minorEastAsia"/>
      <w:color w:val="5A5A5A" w:themeColor="text1" w:themeTint="A5"/>
    </w:rPr>
  </w:style>
  <w:style w:type="character" w:customStyle="1" w:styleId="a6">
    <w:name w:val="Підзаголовок Знак"/>
    <w:basedOn w:val="a0"/>
    <w:link w:val="a5"/>
    <w:uiPriority w:val="11"/>
    <w:rsid w:val="00AC5107"/>
    <w:rPr>
      <w:rFonts w:ascii="Times New Roman" w:eastAsiaTheme="minorEastAsia" w:hAnsi="Times New Roman" w:cstheme="minorHAnsi"/>
      <w:color w:val="5A5A5A" w:themeColor="text1" w:themeTint="A5"/>
      <w:sz w:val="28"/>
    </w:rPr>
  </w:style>
  <w:style w:type="paragraph" w:customStyle="1" w:styleId="11">
    <w:name w:val="Основний текст1"/>
    <w:basedOn w:val="a"/>
    <w:next w:val="a7"/>
    <w:link w:val="a8"/>
    <w:autoRedefine/>
    <w:qFormat/>
    <w:rsid w:val="00D87278"/>
    <w:pPr>
      <w:spacing w:after="160" w:line="259" w:lineRule="auto"/>
      <w:ind w:left="144" w:firstLine="601"/>
    </w:pPr>
    <w:rPr>
      <w:rFonts w:eastAsia="Times New Roman" w:cs="Times New Roman"/>
      <w:sz w:val="19"/>
      <w:szCs w:val="19"/>
      <w:lang w:eastAsia="uk-UA"/>
    </w:rPr>
  </w:style>
  <w:style w:type="character" w:customStyle="1" w:styleId="a8">
    <w:name w:val="Основний текст Знак"/>
    <w:basedOn w:val="a0"/>
    <w:link w:val="11"/>
    <w:rsid w:val="00D87278"/>
    <w:rPr>
      <w:rFonts w:ascii="Times New Roman" w:eastAsia="Times New Roman" w:hAnsi="Times New Roman" w:cs="Times New Roman"/>
      <w:sz w:val="19"/>
      <w:szCs w:val="19"/>
      <w:lang w:eastAsia="uk-UA"/>
    </w:rPr>
  </w:style>
  <w:style w:type="paragraph" w:styleId="a7">
    <w:name w:val="Body Text"/>
    <w:basedOn w:val="a"/>
    <w:link w:val="12"/>
    <w:uiPriority w:val="99"/>
    <w:semiHidden/>
    <w:unhideWhenUsed/>
    <w:rsid w:val="00D87278"/>
    <w:pPr>
      <w:spacing w:after="120"/>
    </w:pPr>
  </w:style>
  <w:style w:type="character" w:customStyle="1" w:styleId="12">
    <w:name w:val="Основний текст Знак1"/>
    <w:basedOn w:val="a0"/>
    <w:link w:val="a7"/>
    <w:uiPriority w:val="99"/>
    <w:semiHidden/>
    <w:rsid w:val="00D87278"/>
    <w:rPr>
      <w:rFonts w:ascii="Times New Roman" w:hAnsi="Times New Roman" w:cstheme="minorHAnsi"/>
      <w:sz w:val="28"/>
    </w:rPr>
  </w:style>
  <w:style w:type="paragraph" w:customStyle="1" w:styleId="13">
    <w:name w:val="Стиль1"/>
    <w:basedOn w:val="11"/>
    <w:qFormat/>
    <w:rsid w:val="00612EC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41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1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1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18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18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18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18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18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1859"/>
    <w:rPr>
      <w:rFonts w:eastAsiaTheme="majorEastAsia" w:cstheme="majorBidi"/>
      <w:color w:val="272727" w:themeColor="text1" w:themeTint="D8"/>
    </w:rPr>
  </w:style>
  <w:style w:type="paragraph" w:styleId="a9">
    <w:name w:val="Quote"/>
    <w:basedOn w:val="a"/>
    <w:next w:val="a"/>
    <w:link w:val="aa"/>
    <w:uiPriority w:val="29"/>
    <w:qFormat/>
    <w:rsid w:val="00341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34185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41859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341859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41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341859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341859"/>
    <w:rPr>
      <w:b/>
      <w:bCs/>
      <w:smallCaps/>
      <w:color w:val="2F5496" w:themeColor="accent1" w:themeShade="BF"/>
      <w:spacing w:val="5"/>
    </w:rPr>
  </w:style>
  <w:style w:type="paragraph" w:customStyle="1" w:styleId="06">
    <w:name w:val="06. ВопрМножВыбор"/>
    <w:next w:val="a"/>
    <w:rsid w:val="00E22717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Stakhiv</dc:creator>
  <cp:keywords/>
  <dc:description/>
  <cp:lastModifiedBy>Olha Stakhiv</cp:lastModifiedBy>
  <cp:revision>2</cp:revision>
  <dcterms:created xsi:type="dcterms:W3CDTF">2024-05-15T08:54:00Z</dcterms:created>
  <dcterms:modified xsi:type="dcterms:W3CDTF">2024-05-15T09:06:00Z</dcterms:modified>
</cp:coreProperties>
</file>