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65" w:rsidRDefault="00494B65" w:rsidP="00494B65">
      <w:pPr>
        <w:spacing w:line="240" w:lineRule="auto"/>
        <w:ind w:firstLine="567"/>
        <w:jc w:val="center"/>
        <w:rPr>
          <w:b/>
          <w:szCs w:val="28"/>
        </w:rPr>
      </w:pPr>
      <w:r w:rsidRPr="00294E5E">
        <w:rPr>
          <w:b/>
          <w:szCs w:val="28"/>
        </w:rPr>
        <w:t xml:space="preserve">ПЕРЛІК ПИТАНЬ ДО </w:t>
      </w:r>
      <w:r>
        <w:rPr>
          <w:b/>
          <w:szCs w:val="28"/>
        </w:rPr>
        <w:t>ЗАЛІКУ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Предмет, об’єкт, мета та завдання вивчення спеціального курсу «Громадські об’єднання в Україні».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Право громадян на свободу об'єднання як невід'ємне право людини і громадянина.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Джерела спеціального курсу «Громадські об’єднання в Україні».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Види громадських об’єднань в Україні.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Центральний виконавчий орган державної влади у сфері легалізації об’єднань громадян.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Громадські об’єднання, правова держава та громадянське суспільство: співвідношення понять.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Громадські об’єднання та держава.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Поняття політичної партії.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Порядок реєстрації політичної партії.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 xml:space="preserve">Права та обов’язки політичної партії. 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Членство у політичних партіях.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Кошти та інше майно політичних партій.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Законодавчі основи діяльності політичних партій в Україні.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Участь політичних партій у виборчому процесі.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 xml:space="preserve">Поняття громадського об’єднання. 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Поняття громадської організації.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Поняття громадської спілки.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Поняття молодіжної громадської організації.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Поняття дитячої громадської організації.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Організаційно – правові форми громадських організацій в Україні.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 xml:space="preserve">Утворення громадських організацій та громадських спілок. 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 xml:space="preserve">Порядок припинення діяльності громадських організацій та громадських спілок. 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Права громадських організацій та громадських спілок.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Власність </w:t>
      </w:r>
      <w:r>
        <w:rPr>
          <w:szCs w:val="28"/>
        </w:rPr>
        <w:t>громадських організацій та громадських спілок</w:t>
      </w:r>
      <w:r>
        <w:rPr>
          <w:color w:val="000000"/>
          <w:szCs w:val="28"/>
          <w:shd w:val="clear" w:color="auto" w:fill="FFFFFF"/>
        </w:rPr>
        <w:t>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  <w:lang w:val="ru-RU"/>
        </w:rPr>
      </w:pPr>
      <w:r>
        <w:rPr>
          <w:szCs w:val="28"/>
        </w:rPr>
        <w:t>Засновники молодіжних та дитячих  громадських організацій та їх спілок.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Членство  в  молодіжних та дитячих громадських організаціях.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Статус молодіжних та дитячих громадських організацій.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Права молодіжних та дитячих громадських організацій.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Поняття професійної спілки.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Право профспілок, їх організацій на створення об'єднань.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Статус професійних спілок.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Професійні спілки, їх об'єднання та організації роботодавців, їх об'єднання.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Членство у профспілках.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 xml:space="preserve">Порядок легалізації профспілок. 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Припинення діяльності профспілок, їх об'єднань.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Права та обов’язки профспілок.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Поняття організацій роботодавців та їх об’єднань. 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Види статусів організацій роботодавців та їх об’єднань.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Порядок утворення та припинення діяльності організацій роботодавців, їх об’єднань.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Повноваження організацій роботодавців та їх об’єднань. 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Особливості правового статусу благодійних організацій.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Поняття благодійної організації.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Засновники благодійних організацій.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Організаційно-правові форми благодійних організацій.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Статус благодійних організацій.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Державна реєстрація благодійної організації.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Права та обов’язки благодійних організацій.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Особливості правового статусу волонтерських організацій.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Поняття волонтерської діяльності (юридичний аспект).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Поняття волонтерської організації.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Права та обов’язки волонтерської організації.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Порядок надання та позбавлення юридичних осіб статусу волонтерської організації.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Волонтери, їх права та обов'язки.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proofErr w:type="spellStart"/>
      <w:r>
        <w:rPr>
          <w:szCs w:val="28"/>
        </w:rPr>
        <w:t>Товориство</w:t>
      </w:r>
      <w:proofErr w:type="spellEnd"/>
      <w:r>
        <w:rPr>
          <w:szCs w:val="28"/>
        </w:rPr>
        <w:t xml:space="preserve"> Червоного Хреста України – особливий різновид благодійних та волонтерських організацій.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Правові засади участі громадян в охороні громадського порядку і державного кордону.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Порядок створення та припинення діяльності громадських формувань з охорони громадського порядку та державного кордону.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Основні завдання, права та обов’язки громадських формувань з охорони громадського порядку та державного кордону та їх членів.</w:t>
      </w:r>
    </w:p>
    <w:p w:rsidR="00494B65" w:rsidRDefault="00494B65" w:rsidP="00494B65">
      <w:pPr>
        <w:pStyle w:val="2"/>
        <w:keepNext w:val="0"/>
        <w:numPr>
          <w:ilvl w:val="0"/>
          <w:numId w:val="1"/>
        </w:numPr>
        <w:suppressAutoHyphens w:val="0"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Конституційне право на свободу віросповідання в Україні.</w:t>
      </w:r>
    </w:p>
    <w:p w:rsidR="00494B65" w:rsidRDefault="00494B65" w:rsidP="00494B65">
      <w:pPr>
        <w:pStyle w:val="2"/>
        <w:keepNext w:val="0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Релігійні організації: поняття, ознаки, види.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</w:pPr>
      <w:r>
        <w:rPr>
          <w:szCs w:val="28"/>
        </w:rPr>
        <w:t>Релігійна громада</w:t>
      </w:r>
      <w:r>
        <w:t>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Релігійні управління і центри.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Монастирі, релігійні братства і місії.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Духовні навчальні заклади.</w:t>
      </w:r>
    </w:p>
    <w:p w:rsidR="00494B65" w:rsidRDefault="00494B65" w:rsidP="00494B65">
      <w:pPr>
        <w:pStyle w:val="2"/>
        <w:keepNext w:val="0"/>
        <w:numPr>
          <w:ilvl w:val="0"/>
          <w:numId w:val="1"/>
        </w:numPr>
        <w:suppressAutoHyphens w:val="0"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Механізм створення й легалізації релігійних організацій.</w:t>
      </w:r>
    </w:p>
    <w:p w:rsidR="00494B65" w:rsidRDefault="00494B65" w:rsidP="00494B65">
      <w:pPr>
        <w:pStyle w:val="2"/>
        <w:keepNext w:val="0"/>
        <w:numPr>
          <w:ilvl w:val="0"/>
          <w:numId w:val="1"/>
        </w:numPr>
        <w:suppressAutoHyphens w:val="0"/>
        <w:spacing w:before="0" w:after="0" w:line="240" w:lineRule="auto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Права та обов’язки релігійних організацій, їх фінансування та власність.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Припинення діяльності релігійної організації.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  <w:lang w:eastAsia="ru-RU"/>
        </w:rPr>
      </w:pPr>
      <w:r>
        <w:rPr>
          <w:szCs w:val="28"/>
        </w:rPr>
        <w:t>Поняття творчої спілки та основні принципи й напрями її діяльності.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Порядок заснування та припинення діяльності творчих спілок.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Особливості діяльності творчих спілок.</w:t>
      </w:r>
    </w:p>
    <w:p w:rsidR="00494B65" w:rsidRDefault="00494B65" w:rsidP="00494B65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>Загальна характеристика органів управління творчих спілок.</w:t>
      </w:r>
    </w:p>
    <w:p w:rsidR="00494B65" w:rsidRDefault="00494B65" w:rsidP="00494B65">
      <w:pPr>
        <w:spacing w:line="240" w:lineRule="auto"/>
        <w:ind w:left="360"/>
        <w:rPr>
          <w:szCs w:val="28"/>
          <w:lang w:val="ru-RU"/>
        </w:rPr>
      </w:pPr>
    </w:p>
    <w:p w:rsidR="002B7E3D" w:rsidRDefault="00494B65" w:rsidP="00494B65">
      <w:r>
        <w:rPr>
          <w:b/>
          <w:szCs w:val="28"/>
        </w:rPr>
        <w:br w:type="page"/>
      </w:r>
      <w:bookmarkStart w:id="0" w:name="_GoBack"/>
      <w:bookmarkEnd w:id="0"/>
    </w:p>
    <w:sectPr w:rsidR="002B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D18"/>
    <w:multiLevelType w:val="hybridMultilevel"/>
    <w:tmpl w:val="B61C0922"/>
    <w:lvl w:ilvl="0" w:tplc="4CEA0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65"/>
    <w:rsid w:val="002B7E3D"/>
    <w:rsid w:val="00494B65"/>
    <w:rsid w:val="00E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65"/>
    <w:pPr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4B6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B65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65"/>
    <w:pPr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4B6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B65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2017-02-19T09:04:00Z</dcterms:created>
  <dcterms:modified xsi:type="dcterms:W3CDTF">2017-02-19T09:04:00Z</dcterms:modified>
</cp:coreProperties>
</file>