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ТЕМА</w:t>
      </w: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. 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ПОВІДОМЛЕННЯ ПРО ПІДОЗРУ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ПЛАН</w:t>
      </w: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>:</w:t>
      </w:r>
    </w:p>
    <w:p w:rsidR="006D0DA2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1. Поняття, зміст та значення повідомлення особи про підозру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2. Зміст і форма письмового повідомлення про підозру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3. Порядок повідомлення про підозру. Допит підозрюваного.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4. Зміна повідомлення про підозру</w:t>
      </w:r>
    </w:p>
    <w:p w:rsidR="006D0DA2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1. 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ПОНЯТТЯ</w:t>
      </w: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, 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ЗМІСТ ТА ЗНАЧЕННЯ ПОВІДОМЛЕННЯ ОСОБИ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ПРО ПІДОЗРУ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Повідомлення особи про підозру – це одне із важливих процесуальних рішень,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яке приймає прокурор або слідчий за погодженням з прокурором до закінчення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розслідування у кримінальному провадженні. В цьому процесуальному рішенні 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основі доказів, зібраних у ході проведення досудового розслідування, конкретна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особа стає набуває статусу підозрюваного.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Акт повідомлення особи про підозру має важливе юридичне значення: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1. Він служить одним із засобів забезпечення невідворотності відповідальності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осіб, які вчинили кримінальне правопорушення.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2. Обґрунтована підозра дозволяє призначити таким особам справедливе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покарання відповідно до характеру і тяжкості скоєного кримінального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правопорушення.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3. Акт повідомлення особи про підозру є початковим моментом реалізації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функції обвинувачення.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4. Акт повідомлення особи про підозру є початковим моментом забезпечення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кримінальної відповідальності особи, винуватої у скоєнні кримінального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правопорушення.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5. Після повідомлення особи про підозру процесуальне становище даної особи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погіршується (її можна оголосити в розшук, відсторонити від займаної посади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тощо).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Правильне вирішення питання про підозру особи сприяє досягненню таких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перспективних завдань кримінального провадження, як зміцнення законності та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правопорядку, охорона інтересів суспільства, прав і свобод громадян, та виховання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їх в дусі дотримання Конституції України та відповідних законів.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Юридичне значення акту повідомлення особи про підозру складається також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із того, що в стадії досудового розслідування настає новий етап, пов’язаний з тим,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що в процесі досудового розслідування накопичено достатньо доказів для підозри 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скоєнні злочину конкретної особи. Ця підозра вперше чітко сформульована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офіційному документі - повідомленні особи про підозру. В ній слідчий дає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першопочатковий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висновок, про наявність і суть кримінально-караного діяння,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скоєного конкретною особою.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Вимога всебічності, повноти і неупередженості розслідування (ч.2 ст. 9 КПК)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не усувається після повідомлення особи про підозру. Подальше розслідування може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привести до встановлення обставин, які виключають кримінальну відповідальність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особи, або інших підстав до закінчення досудового розслідування щодо цієї особи,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 виявлення нових осіб, які вчинили або є причетними до вчинення кримінального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правопорушення.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Після повідомлення особі про підозру слідчий набуває права застосувати до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підозрюваного заходи забезпечення кримінального провадження: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1) виклик слідчим, прокурором, судовий виклик і привід;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2) накладення грошового стягнення;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3) тимчасове обмеження у користуванні спеціальним правом;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4) відсторонення від посади;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5) тимчасовий доступ до речей і документів;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6) тимчасове вилучення майна;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7) арешт майна;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8) затримання особи;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9) запобіжні заходи.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Прийняте рішення щодо повідомлення особи про підозру не означає, що мета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розслідування досягнута і його можна закінчити. Потрібно ще допитати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підозрюваного щодо винесеного йому повідомлення про підозру, перевірити його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показання, а при необхідності - виконати інші процесуальні дії. Якщо з врахуванням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перевірки показань підозрюваного і інших даних, отриманих у ході подальшого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розслідування, доказів для висновків про вину підозрюваного може бути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недостатньо або буде встановлена його невинуватість, кримінальне переслідування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має бути закінчено, на підставі, передбаченою ст. 284 КПК.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З моменту винесення повідомлення особи про підозру між слідчим 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підозрюваним виникають певні кримінально-процесуальні правовідносини.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Слідчий складаючи повідомлення особи про підозру, викладає в ній свою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власну думку про винуватість особи, яка склалася у нього на підставі оцінки тих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доказів, що є в справі на момент прийняття такого рішення. І наявність цього акту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ще не означає офіційного визнання особи винуватою від імені держави. Висновок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 винуватість хоч і є офіційним але все ж таки це особиста (суб’єктивна) думка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слідчого про наявність підстав покладення на певну особу кримінальної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відповідальності згідно конкретної кримінально-правової норми.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Підозрюваний, відповідно до принципу презумпції невинуватості, вважається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невинуватим до того часу, доки його винуватість не доведена у встановленому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законом порядку.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Акт повідомлення особи про підозру не можна вважати початком реалізації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кримінальної відповідальності.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 xml:space="preserve">Ототожнювати процесуальні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правообмеження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у стадіях досудового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розслідування і судового розгляду з реалізацією кримінальної відповідальності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уявляється неправильним: при цьому змішуються поняття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“кримінальна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відповідальність”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і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“державний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примус”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Під час досудового розслідування особа, якій повідомлено про підозру, зазнає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ряд обмежень у сфері особистих і майнових прав в результаті застосування до неї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заходів забезпечення кримінального провадження. Але всі ці наслідки не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виступають як прояв кримінальної відповідальності. Заходи забезпечення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кримінального провадження покликані забезпечити нормальний хід здійснення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кримінального судочинства у конкретному провадженні, встановлення об’єктивної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істини.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Повідомлення про підозру обов</w:t>
      </w: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>'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язково здійснюється у наступних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випадках</w:t>
      </w: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>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EC4F50">
        <w:rPr>
          <w:rFonts w:ascii="TimesNewRomanPS-ItalicMT" w:hAnsi="TimesNewRomanPS-ItalicMT" w:cs="TimesNewRomanPS-ItalicMT"/>
          <w:i/>
          <w:iCs/>
          <w:sz w:val="26"/>
          <w:szCs w:val="26"/>
        </w:rPr>
        <w:t>1) у разі затримання особи на місці вчинення кримінального правопорушення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 w:rsidRPr="00EC4F50">
        <w:rPr>
          <w:rFonts w:ascii="TimesNewRomanPS-ItalicMT" w:hAnsi="TimesNewRomanPS-ItalicMT" w:cs="TimesNewRomanPS-ItalicMT"/>
          <w:i/>
          <w:iCs/>
          <w:sz w:val="26"/>
          <w:szCs w:val="26"/>
        </w:rPr>
        <w:t>чи безпосередньо після його вчинення;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Це положення КПК означає що уповноважена службова особа має право без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ухвали слідчого судді, суду затримати особу, підозрювану у вчиненні злочину, за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який передбачене покарання у виді позбавлення волі, лише у випадках: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а) якщо цю особу застали під час вчинення злочину або замаху на його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вчинення;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б) якщо безпосередньо після вчинення злочину очевидець, в тому числі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потерпілий, або сукупність очевидних ознак на тілі, одязі чи місці події вказують 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те, що саме ця особа щойно вчинила злочин.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Особа є затриманою з моменту, коли вона силою або через підкорення наказу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змушена залишатися поряд із уповноваженою службовою особою чи в приміщенні,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визначеному уповноваженою службовою особою.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Строк затримання особи без ухвали слідчого судді, суду не може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перевищувати сімдесяти двох годин з моменту затримання.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Затримана без ухвали слідчого судді, суду особа не пізніше шістдесяти годин з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моменту затримання повинна бути звільнена або доставлена до суду для розгляду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клопотання про обрання стосовно неї запобіжного заходу.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EC4F50">
        <w:rPr>
          <w:rFonts w:ascii="TimesNewRomanPS-ItalicMT" w:hAnsi="TimesNewRomanPS-ItalicMT" w:cs="TimesNewRomanPS-ItalicMT"/>
          <w:i/>
          <w:iCs/>
          <w:sz w:val="26"/>
          <w:szCs w:val="26"/>
        </w:rPr>
        <w:t>2)у разі обрання до особи одного з передбачених КПК запобіжних заходів;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Запобіжними заходами є: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1) особисте зобов'язання;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2) особиста порука;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3) застава;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4) домашній арешт;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5) тримання під вартою.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Тимчасовим запобіжним заходом є затримання особи.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 xml:space="preserve">Запобіжні заходи застосовуються: під час досудового розслідування </w:t>
      </w:r>
      <w:r>
        <w:rPr>
          <w:rFonts w:ascii="TimesNewRomanPSMT" w:hAnsi="TimesNewRomanPSMT" w:cs="TimesNewRomanPSMT"/>
          <w:sz w:val="26"/>
          <w:szCs w:val="26"/>
        </w:rPr>
        <w:t>–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 слідчим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суддею за клопотанням слідчого, погодженим з прокурором, або за клопотанням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прокурора, а під час судового провадження - судом за клопотанням прокурора.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EC4F50">
        <w:rPr>
          <w:rFonts w:ascii="TimesNewRomanPS-ItalicMT" w:hAnsi="TimesNewRomanPS-ItalicMT" w:cs="TimesNewRomanPS-ItalicMT"/>
          <w:i/>
          <w:iCs/>
          <w:sz w:val="26"/>
          <w:szCs w:val="26"/>
        </w:rPr>
        <w:t>3) у разі наявності достатніх доказів для підозри особи у вчиненні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 w:rsidRPr="00EC4F50">
        <w:rPr>
          <w:rFonts w:ascii="TimesNewRomanPS-ItalicMT" w:hAnsi="TimesNewRomanPS-ItalicMT" w:cs="TimesNewRomanPS-ItalicMT"/>
          <w:i/>
          <w:iCs/>
          <w:sz w:val="26"/>
          <w:szCs w:val="26"/>
        </w:rPr>
        <w:t>кримінального правопорушення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 xml:space="preserve">Що ж слід розуміти під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“достатніми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доказами”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, які повинні відповідно до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вимог закону вказувати на вчинення кримінального правопорушення конкретною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особою. Поняття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“достатність”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охоплює кількісні і якісні сторони явища. Докази, які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лежать в основі рішення, повинні бути достовірними, а їх кількість повинна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складати сукупність, яка б дозволяла прийняти правильне рішення.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Таким чином під достатніми доказами відносно акту повідомлення особи про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підозру слід розуміти достовірні відомості, зібрані, перевірені і оцінені слідчим 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встановленому законом порядку, які в своїй сукупності приводять до єдиного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висновку на даний момент розслідування про те, що конкретна особа вчинила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кримінальне правопорушення, яке передбачене Кримінальним кодексом України, 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не підлягає звільненню від відповідальності за нього.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При цьому повідомлення особи про підозру, повинно базуватися не на простій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сукупності доказів, а на їх системі. Якщо немає системи доказів, а є лише окремі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докази винуватості що не узгоджуються з іншими, значить не можна приймати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рішення про повідомлення особи про підозру.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Важливу роль у вирішенні питання про наявність достатніх доказів для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повідомлення особи про підозру відіграє внутрішнє переконання слідчого 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винуватості цієї особи. Висновок слідчого про наявність достатніх доказів для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повідомлення особи про підозру представляє собою результат оцінки визначеної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сукупності доказів. А докази повинні оцінюватися не інакше як за внутрішнім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переконанням.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Слідчий має бути впевненим в достовірності висновку про винуватість особи,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яка повідомляється про підозру. Це означає, що слідчий повинен мати тверду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впевненість в правильності свого висновку, рішучість зафіксувати його 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обвинувальному акті, та готовність відстоювати його перед вищестоящими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контролюючими та наглядовими інстанціями, нести за нього відповідальність.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Яка кількість доказів і яких саме потрібно для повідомлення особи про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підозру, попередньо визначити неможливо. Ніякі докази для слідчого не мають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наперед встановленої сили. У кожному кримінальному провадженні питання про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достовірність доказів для правильного висновку про винуватість особи потрібно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вирішувати виходячи з конкретних обставин кримінального провадження.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Достатність доказів визначається як наявність у кримінальному провадженні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такої сукупності доказів, яка викликає у суб'єкта доказування внутрішню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переконаність у </w:t>
      </w: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достовірному з'ясуванні наявності або відсутності обставин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предмету доказування, необхідних для встановлення об'єктивної істини та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прийняття правильного рішення у справі.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Властивість достатності доказів у кримінальному судочинстві є вимогою, що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виражається в наявності такої системи належних, допустимих, достовірних доказів,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що отримана в результаті всебічного, повного й об’єктивного дослідження обставин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кримінального провадження та всієї сукупності зібраних у ньому доказів, і яка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достовірно встановлює всі обставини, що утворюють предмет доказування.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Достатність становить собою системну властивість доказів, компонентами якої є: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логічна послідовність, однозначність висновків, погодженість і несуперечність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доказів і встановлених обставин, стійкість знання (незмінність у разі виникнення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сумнівів з приводу одного з доказів), повнота встановлених обставин предмета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доказування.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Поняття "межі доказування" і "достатність доказів" співвідносяться наступним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чином: вони з різних боків характеризують одне й те саме явище. Межі доказування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вказують на нього шляхом окреслення певних рамок, в яких знаходиться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позначуване явище, а достатність доказів вказує на це ж явище, характеризуючи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його суть, зміст. Межі доказування виділяють, виокремлюють зі всієї гіпотетично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можливої сукупності доказів саме достатню їх сукупність, відмежовуючи її, з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одного боку, від недостатньої сукупності доказів, а з іншого – від надмірної. Саме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між цими двома межами і знаходиться достатність доказів.</w:t>
      </w:r>
    </w:p>
    <w:p w:rsidR="006D0DA2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2. 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ЗМІСТ І ФОРМА ПИСЬМОВОГО ПОВІДОМЛЕННЯ ПРО ПІДОЗРУ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Отже, що ж таке «підозра» особи у вчиненні кримінального правопорушення?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Звернемось до довідникових видань. В словнику С.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Ожегова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знаходимо роз’яснення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понять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“подозрение”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, як припущення основане на сумнівах правильності, законності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чиїх-небудь вчинків, правдивості чиїх-небудь слів... і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“подозрительный”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, як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викликаючий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підозріння.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 xml:space="preserve">На українську мову слово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“подозрение”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перекладається як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“підозра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...підозріння...”, а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„подозрительный”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перекладається як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„підозрілий”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В. Даль, неначе спеціально для кримінального процесу дав роз’яснення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правового розуміння поняття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“підозріння”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: “…До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улики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никого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не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подозревай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…”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Слідчий, прокурор вважають, що підозрювана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особа чимось пов’язана із вчиненим злочином, тобто не виключається можливість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вчинення нею цього злочину. І, зрештою, коли людина в чомусь підозрюється, то,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природно, її в чомусь обвинувачують. Інакше бути не може.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Коли мова йде про процесуальний порядок виконання будь-якого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процесуального акту, то на увазі мається сукупність ознак, які характеризують: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суб’єкта, що здійснює цей акт; процесуальні документи, якими він оформлюється;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строки, в які повинні бути вирішені необхідні процесуальні дії, процедуру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виконання цих дій; спеціальні заходи, які застосовуються для забезпечення прав 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законних інтересів осіб, яких стосується даний акт.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Письмове повідомлення особи про підозру особи складає прокурор або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слідчий за погодженням з прокурором.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Повідомлення має містити такі відомості: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1) прізвище та посаду слідчого, прокурора, який здійснює повідомлення;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2) анкетні відомості особи (прізвище, ім'я, по батькові, дату та місце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народження, місце проживання, громадянство), яка повідомляється про підозру;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3) найменування (номер) кримінального провадження, у межах якого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здійснюється повідомлення;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4) зміст підозри;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5) правова кваліфікація кримінального правопорушення, у вчиненні якого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підозрюється особа, із зазначенням статті (частини статті) закону України про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кримінальну відповідальність;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6) стислий виклад фактичних обставин кримінального правопорушення, 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вчиненні якого підозрюється особа, у тому числі зазначення часу, місця його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вчинення, а також інших суттєвих обставин, відомих на момент повідомлення про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підозру;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7) права підозрюваного;</w:t>
      </w:r>
    </w:p>
    <w:p w:rsidR="006D0DA2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8) підпис слідчого, прокурора, який здійснив повідомлення.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3. 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ПОРЯДОК ПОВІДОМЛЕННЯ ПРО ПІДОЗРУ</w:t>
      </w: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. 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ДОПИТ ПІДОЗРЮВАНОГО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Письмове повідомлення про підозру вручається в день його складення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прокурором або слідчим, а у випадку неможливості такого вручення – у спосіб,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передбачений КПК для вручення повідомлень, тобто шляхом виклику або приводу.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Письмове повідомлення про підозру затриманій особі вручається не пізніше 24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годин з моменту її затримання.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У випадку, якщо особі не вручено повідомлення про підозру після спливу 24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годин з моменту затримання, така особа підлягає негайному звільненню.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Дата та час повідомлення про підозру, правова кваліфікація кримінального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правопорушення, у вчиненні якого підозрюється особа, з зазначенням статті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(частини статті) закону України про кримінальну відповідальність невідкладно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вносяться слідчим, прокурором до Єдиного реєстру досудових розслідувань.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Особливий порядок письмового повідомлення про підозру здійснюється: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1) адвокату, депутату місцевої ради, депутату Верховної Ради Автономної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Республіки Крим, сільському, селищному, міському голові – Генеральним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прокурором України, його заступником, прокурором Автономної Республіки Крим,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області, міст Києва або Севастополя в межах його повноважень;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2) народному депутату України, кандидату у Президенти України,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Уповноваженому Верховної Ради України з прав людини, Голові Рахункової палати,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його першому заступнику, заступнику, головному контролеру, секретарю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Рахункової палати, заступникам Генерального прокурора України – Генеральним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прокурором України;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3) судді Конституційного Суду України, професійному судді, присяжному та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засідателю на час здійснення ними правосуддя – Генеральним прокурором України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або його заступником;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4) Генеральному прокурору України – заступником Генерального прокурора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України.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EC4F50">
        <w:rPr>
          <w:rFonts w:ascii="TimesNewRomanPS-ItalicMT" w:hAnsi="TimesNewRomanPS-ItalicMT" w:cs="TimesNewRomanPS-ItalicMT"/>
          <w:i/>
          <w:iCs/>
          <w:sz w:val="26"/>
          <w:szCs w:val="26"/>
        </w:rPr>
        <w:t>Порядок здійснення виклику в кримінальному провадженні.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Особа викликається до слідчого, прокурора, слідчого судді, суду шляхом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вручення повістки про виклик, надіслання її поштою, електронною поштою чи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факсимільним зв'язком, здійснення виклику по телефону або телеграмою.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У разі тимчасової відсутності особи за місцем проживання, повістка для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передачі їй вручається під розписку дорослому члену сім'ї особи чи іншій особі, яка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 нею проживає, житлово-експлуатаційній організації за місцем проживання особи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або адміністрації за місцем її роботи.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Особа, що перебуває під вартою, викликається через адміністрацію місця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ув'язнення.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Повістка про виклик неповнолітньої особи, як правило, вручається її батьку,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матері,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усиновлювачу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або законному представнику. Інший порядок вручення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повістки </w:t>
      </w: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допускається лише у випадку, коли це обумовлюється обставинами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кримінального провадження.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Повістка про виклик обмежено дієздатної особи вручається її піклувальнику.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Повістка про виклик вручається особі працівником органу зв'язку,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працівником правоохоронного органу, слідчим, прокурором, а також секретарем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судового засідання, якщо таке вручення здійснюється в приміщенні суду.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Повістка про виклик особи, яка проживає за кордоном, вручається згідно з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міжнародним договором про правову допомогу, згода на обов'язковість якого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надана Верховною Радою України, а за відсутності такого - за допомогою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дипломатичного (консульського) представництва.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Особа має отримати повістку про виклик або бути повідомленою про нього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іншим шляхом не пізніше ніж за три дні до дня, коли вона зобов'язана прибути за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викликом. У випадку встановлення КПК строків здійснення процесуальних дій, які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не дозволяють здійснити виклик у зазначений строк, особа має отримати повістку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 виклик або бути повідомленою про нього іншим шляхом якнайшвидше, але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будь-якому разі з наданням їй необхідного часу для підготовки та прибуття за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викликом.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Належним підтвердженням отримання особою повістки про виклик або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ознайомлення з її змістом іншим шляхом є розпис особи про отримання повістки,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тому числі на поштовому повідомленні, відеозапис вручення особі повістки, будь-які інші дані, які підтверджують факт вручення особі повістки про виклик або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ознайомлення з її змістом.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Якщо особа попередньо повідомила слідчого, прокурора, слідчого суддю, суд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 адресу своєї електронної пошти, надіслана на таку адресу повістка про виклик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вважається отриманою у випадку підтвердження її отримання особою відповідним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листом електронної пошти.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EC4F50">
        <w:rPr>
          <w:rFonts w:ascii="TimesNewRomanPS-ItalicMT" w:hAnsi="TimesNewRomanPS-ItalicMT" w:cs="TimesNewRomanPS-ItalicMT"/>
          <w:i/>
          <w:iCs/>
          <w:sz w:val="26"/>
          <w:szCs w:val="26"/>
        </w:rPr>
        <w:t>Поважними причинами неприбуття особи на виклик є: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1) затримання, тримання під вартою або відбування покарання;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2) обмеження свободи пересування внаслідок дії закону або судового рішення;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3) обставини непереборної сили (епідемії, військові події, стихійні лиха або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інші подібні обставини);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4) відсутність особи у місці проживання протягом тривалого часу внаслідок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відрядження, подорожі тощо;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5) тяжка хвороба або перебування в закладі охорони здоров'я у зв'язку з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лікуванням або вагітністю за умови неможливості тимчасово залишити цей заклад;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6) смерть близьких родичів, членів сім'ї чи інших близьких осіб або серйозна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загроза їхньому життю;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7) несвоєчасне одержання повістки про виклик;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8) інші обставини, які об'єктивно унеможливлюють з'явлення особи на виклик.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Якщо підозрюваний який був у встановленому КПК порядку викликаний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(зокрема, наявне підтвердження отримання ним повістки про виклик або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ознайомлення з її змістом іншим шляхом), не з'явився без поважних причин або не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повідомив про причини свого неприбуття, на нього накладається грошове стягнення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у розмірі: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від 0,25 до 0,5 розміру мінімальної заробітної плати - у випадку неприбуття на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виклик слідчого, прокурора;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від 0,5 до 2 розмірів мінімальної заробітної плати - у випадку неприбуття на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виклик слідчого судді, суду.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У випадку неприбуття підозрюваного без поважних причин на виклик до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нього може бути застосовано привід.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Підозрюваним є особа, якій у порядку, передбаченому ст.ст. 276-279 КПК,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повідомлено про підозру, або особа, яка затримана за підозрою у вчиненні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кримінального правопорушення.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EC4F50">
        <w:rPr>
          <w:rFonts w:ascii="TimesNewRomanPS-ItalicMT" w:hAnsi="TimesNewRomanPS-ItalicMT" w:cs="TimesNewRomanPS-ItalicMT"/>
          <w:i/>
          <w:iCs/>
          <w:sz w:val="26"/>
          <w:szCs w:val="26"/>
        </w:rPr>
        <w:t>Підозрюваний має право: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1) знати, у вчиненні якого кримінального правопорушення його підозрюють,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обвинувачують;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2) бути чітко і своєчасно повідомленим про свої права, передбачені цим КПК,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а також отримати їх роз'яснення;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3) на першу вимогу мати захисника і побачення з ним до першого допиту з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дотриманням умов, що забезпечують конфіденційність спілкування, а також після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першого допиту – мати такі побачення без обмеження їх кількості й тривалості; на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участь захисника у проведенні допиту та інших процесуальних дій; на відмову від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захисника в будь-який момент кримінального провадження; на отримання правової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допомоги захисника за рахунок держави у випадках, передбачених цим Кодексом,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та/або законом, що регулює надання безоплатної правової допомоги, в тому числі у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зв'язку з відсутністю коштів на її оплату;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4) не говорити нічого з приводу підозри проти нього, обвинувачення або у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будь-який момент відмовитися відповідати на запитання;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5) давати пояснення, показання з приводу підозри, обвинувачення чи в будь-який момент відмовитися їх давати;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6) вимагати перевірки обґрунтованості затримання;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7) у разі затримання або застосування запобіжного заходу у вигляді тримання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 вартою – на негайне повідомлення членів сім’ї, близьких родичів чи інших осіб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 затримання і місце свого перебування згідно з положеннями статті 213 КПК;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8) збирати і подавати слідчому, прокурору, слідчому судді докази;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9) брати участь у проведенні процесуальних дій;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10) під час проведення процесуальних дій ставити запитання, подавати свої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зауваження та заперечення щодо порядку проведення дій, які заносяться до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протоколу;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11) застосовувати з додержанням вимог цього Кодексу технічні засоби при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проведенні процесуальних дій, в яких він бере участь. Слідчий, прокурор, слідчий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суддя, суд мають право заборонити застосовування технічних засобів при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проведенні окремої процесуальної дії чи на певній стадії кримінального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провадження з метою нерозголошення відомостей, які містять таємницю, що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охороняється законом, чи стосуються інтимного життя особи, про що виноситься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(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постановляється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) вмотивована постанова (ухвала);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12) заявляти клопотання про проведення процесуальних дій, про забезпечення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безпеки щодо себе, членів своєї сім'ї, близьких родичів, майна, житла тощо;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13) заявляти відводи;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14) ознайомлюватися з матеріалами досудового розслідування в порядку,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передбаченому статтею 221 КПК, та вимагати відкриття матеріалів згідно зі статтею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290 КПК;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15) одержувати копії процесуальних документів та письмові повідомлення;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16) оскаржувати рішення, дії та бездіяльність слідчого, прокурора, слідчого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судді в порядку, передбаченому цим Кодексом;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17) вимагати відшкодування шкоди, завданої незаконними рішеннями, діями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чи бездіяльністю органу, що здійснює оперативно-розшукову діяльність, досудове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розслідування, прокуратури або суду, в порядку, визначеному законом, а також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відновлення репутації, якщо підозра, обвинувачення не підтвердилися;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18) користуватися рідною мовою, отримувати копії процесуальних документів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рідною або іншою мовою, якою він володіє, та в разі необхідності користуватися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послугами перекладача за рахунок держави.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Підозрюваний викликається до слідчого до слідчого, прокурора, слідчого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судді, суду шляхом вручення повістки про виклик, надіслання її поштою,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електронною поштою чи факсимільним зв'язком, здійснення виклику по телефону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або телеграмою.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У разі тимчасової відсутності особи за місцем проживання, повістка для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передачі їй вручається під розписку дорослому члену сім'ї особи чи іншій особі, яка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 нею проживає, житлово-експлуатаційній організації за місцем проживання особи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або адміністрації за місцем її роботи.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Повістка про виклик вручається особі працівником органу зв'язку,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працівником правоохоронного органу, слідчим, прокурором.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Підозрюваний зобов'язаний з'явитися за викликом слідчого у призначений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строк. В разі неявки без поважних причин підозрюваний підлягає приводу.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Поважними причинами неявки підозрюваного до слідчого в призначений строк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визнаються: несвоєчасне одержання повістка, хвороба та інші обставини, які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фактично позбавляють його можливості своєчасно з'явитися до слідчого.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Привід полягає у примусовому супроводженні особи, до якої він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застосовується, особою, яка виконує ухвалу про здійснення приводу, до місця її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виклику в зазначений в ухвалі час.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Рішення про здійснення приводу приймається: під час досудового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розслідування - слідчим суддею за клопотанням слідчого, прокурора або з власної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ініціативи, а під час судового провадження - судом за клопотанням сторони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кримінального провадження, потерпілого або з власної ініціативи. Рішення про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здійснення приводу приймається у формі ухвали.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Привід може бути застосований до підозрюваного, обвинуваченого.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Виконання ухвали про здійснення приводу може бути доручене відповідним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підрозділам органів внутрішніх справ, органів безпеки, органів, що здійснюють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контроль за додержанням податкового законодавства або органів державного бюро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розслідувань.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Ухвала про здійснення приводу оголошується особі, до якої він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застосовується, особою, яка виконує ухвалу.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Особа, рішення про здійснення приводу якої прийнято слідчим суддею, судом,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зобов'язана прибути до місця виклику в зазначений в ухвалі про здійснення приводу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час у супроводі особи, яка виконує ухвалу.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У випадку невиконання особою, що підлягає приводу, законних вимог щодо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виконання ухвали про здійснення приводу, до неї можуть бути застосовані заходи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фізичного впливу, які дозволяють здійснити її супроводження до місця виклику.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Застосуванню заходів фізичного впливу повинно передувати попередження про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намір їх застосування. У разі неможливості уникнути застосування заходів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фізичного впливу вони не повинні перевищувати міри, необхідної для виконання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ухвали про здійснення приводу, і мають зводитися до мінімального впливу на особу.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Забороняється застосування заходів впливу, які можуть завдати шкоди здоров'ю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особи, а також примушення особи перебувати в умовах, що перешкоджають її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вільному пересуванню, протягом часу більшого, ніж необхідно для негайного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доставлення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особи до місця виклику. Перевищення повноважень щодо застосування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заходів фізичного впливу тягне за собою відповідальність, встановлену законом.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У разі неможливості здійснення приводу особа, яка виконує ухвалу про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здійснення приводу, повертає її до суду з письмовим поясненням причин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невиконання.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Допит підозрюваного, хоча й не передбачений як обов’язковий етап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повідомлення про підозру, однак може бути розглянутий із вказівкою на те що його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проведення у найкоротші строки після повідомлення про підозру сприятиме повноті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встановлення обставин кримінального правопорушення а також ефективній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реалізації підозрюваним права на захист.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Допит підозрюваного є слідчою дією, спрямованою на одержання від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підозрюваного показань зі змісту підозри, а також з приводу всіх інших відомих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йому обставин, що мають значення для правильного вирішення кримінального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провадження.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Перед допитом встановлюється особа, роз'яснюються її права, а також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порядок проведення допиту.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Допит не може продовжуватися без перерви понад дві години, а в цілому -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понад вісім годин на день.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У разі відмови підозрюваного відповідати на запитання, давати показання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особа, яка проводить допит, зобов'язана його зупинити одразу після отримання такої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заяви.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 xml:space="preserve">Під час допиту може застосовуватися фотозйомка,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аудіо-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та/або відеозапис.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Слідчий може допитати підозрюваного за місцем проведення досудового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слідства, а при необхідності і за місцем перебування підозрюваного, тобто за місцем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його проживання, роботи, навчання, лікування, попереднього ув'язнення.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Допит підозрюваного проводиться, як правило, вдень. Допит у нічний час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(22.00-6.00) можливий лише у виняткових випадках, наприклад за клопотанням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самого підозрюваного, який раніше відмовився давати показання взагалі, що має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бути відмічено в протоколі допиту і засвідчено підписом обвинуваченого; у разі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виявлення під час проведених у цей же час інших слідчих дій, зокрема обшуку,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виїмки, відомостей про вчинення найближчим часом нових злочинів його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співучасниками, а також в інших випадках, коли наслідком зволікання з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проведенням допиту може бути втрата письмових і речових доказів, ухилення від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слідства осіб, причетних до вчинення злочину.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Підозрювані допитуються окремо. Слідчий повинен вживати заходів, щоб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підозрювані в одному ж і тому кримінальному провадженні не могли спілкуватися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між собою: викликати кожного з них на певний час; дати вказівку адміністрації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місця досудового ув'язнення про окреме утримання підозрюваних.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Підозрюваний, не попереджається про кримінальну відповідальність за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відмову від дачі показань і за дачу завідомо неправдивих показань, бо давати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показання - це його процесуальне право.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Слідчий вислуховує показання підозрюваного і в разі необхідності ставить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йому запитання для конкретизації і деталізації з'ясовуваних обставин кримінального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провадження, визначення ролі даного підозрюваного та його співучасників у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вчиненні злочину, для перевірки алібі підозрюваного, про яке він заявляє, для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виявленн</w:t>
      </w:r>
      <w:r w:rsidR="009D5A67">
        <w:rPr>
          <w:rFonts w:ascii="TimesNewRomanPSMT" w:hAnsi="TimesNewRomanPSMT" w:cs="TimesNewRomanPSMT"/>
          <w:sz w:val="26"/>
          <w:szCs w:val="26"/>
        </w:rPr>
        <w:t>я кола можливих джерел доказів.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Протокол допиту підозрюваного повинен бути оформлений відповідно до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вимог ст. 104 і 224 КПК.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Показання підозрюваного й відповіді на поставлені запитання викладаються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від першої особи і по можливості дослівно, за винятком нецензурних виразів і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образливих слів. Жаргонні звороти заносяться до протоколу з роз'ясненням їх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значення.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Після закінчення допиту слідчий пред'являє протокол підозрюваному для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особистого ознайомлення. На прохання підозрюваного він може бути прочитаний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йому слідчим, про що зазначається в протоколі. Всі доповнення і поправки до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протоколу, запропоновані підозрюваним, підлягають обов'язковому занесенню до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цього документа.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Протокол підписують підозрюваний і слідчий. Якщо протокол написаний на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кількох сторінках, підозрюваний і перекладач, якщо він брав участь у допиті,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підписують кожну сторінку окремо. Коли в допиті підозрюваного брали участь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прокурор, начальник слідчого підрозділу, старший слідчої групи, експерт,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спеціаліст, захисник або інші особи, вони також підписують протокол.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На прохання підозрюваного йому надається можливість написати свої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показання власноручно, про що робиться відмітка в протоколі допиту. Слідчий,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ознайомившись з письмовими показаннями підозрюваного, може поставити йому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додаткові запитання, які разом з відповідями на них заносяться до протоколу.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Якщо підозрюваний відмовився підписати протокол, про це зазначається в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протоколі. Такій особі надається право дати письмові пояснення щодо причин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відмови від підписання, які заносяться до протоколу. Факт відмови особи від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підписання протоколу, а також факт надання письмових пояснень особи щодо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причин такої відмови засвідчується підписом її захисника (законного представника),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а у разі його відсутності – понятих.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До протоколу допиту підозрюваного можуть додаватися різні схеми,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замальовки та пояснення до них, виконані підозрюваним у ході допиту і підписані</w:t>
      </w:r>
      <w:r w:rsidR="009D5A67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підозрюваним і слідчим.</w:t>
      </w:r>
    </w:p>
    <w:p w:rsidR="00A8535B" w:rsidRDefault="00A8535B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4. </w:t>
      </w: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ЗМІНА ПОВІДОМЛЕННЯ ПРО ПІДОЗРУ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Під час досудового розслідування після повідомлення особі про підозру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можуть бути отримані нові докази, які тягнуть необхідність зміни повідомлення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особі про підозру. Може бути також дана інша оцінка вже відомим доказам.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У випадку виникнення підстав для повідомлення про нову підозру або зміну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раніше повідомленої підозри слідчий, прокурор зобов'язаний виконати дії, щодо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вручення письмового повідомлення особі про підозру, передбачені статтею 278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КПК. Якщо повідомлення про підозру здійснив прокурор, повідомити про нову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підозру або змінити раніше повідомлену підозру має право виключно прокурор.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Зміна – це поправка, яка змінює що-небудь попереднє. Зміна повідомлення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 підозру в широкому розумінні цього поняття полягає у: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1) не підтвердженні частини повідомлення про підозру;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2) доповненні повідомлення про підозру;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3) зміні повідомлення про підозру.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Найбільш повний і детальний перелік підстав для зміни повідомлення про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підозру, на наш погляд, наводить Ю.М. Грошевий. Такими підставами, згідно з його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точкою зору, є: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 xml:space="preserve">-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непідтвердження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будь-якої події злочину, що інкримінується підозрюваному;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відсутність в діях особи складу злочину;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недоведеність участі підозрюваного у вчиненні одного або декількох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злочинів з числа тих, що ставляться йому в вину у повідомленні про підозру;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 xml:space="preserve">-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непідтвердження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обставин, що обтяжують відповідальність;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встановлення обставин, що змінюють оцінку і кваліфікацію вчинку (замах,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закінчений злочин, повторність, продовжуваний злочин);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встановлення обставин, що тягнуть зміну оцінки ступеню співучасті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підозрюваного в злочині (або деяких з них), в тому числі закриття кримінального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провадження за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реабілітуючими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підставами відносно інших осіб;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встановлення обставин, що пом’якшують відповідальність;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наявність достатніх доказів, що вказують на вчинення підозрюваним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злочину, що не інкримінувався йому раніше.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 xml:space="preserve">Не підтвердження частини повідомлення про підозру </w:t>
      </w:r>
      <w:r w:rsidRPr="00EC4F50">
        <w:rPr>
          <w:rFonts w:ascii="TimesNewRomanPSMT" w:hAnsi="TimesNewRomanPSMT" w:cs="TimesNewRomanPSMT"/>
          <w:sz w:val="26"/>
          <w:szCs w:val="26"/>
        </w:rPr>
        <w:t>означає, що: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повідомлення про підозру за окремим епізодом чи самостійному діянню не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підтвердилося;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- не знайшла підтвердження кваліфікуюча ознака;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не знайшла підтвердження та чи інша дія в структурі окремого епізоду або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діяння;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виявилась зайвою кваліфікація діяння за сукупністю злочинів (за декількома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статтям КК).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Внаслідок не підтвердження частини повідомлення про підозру можуть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виникати такі ситуації: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змінювати кваліфікацію не потрібно;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- необхідно змінити кваліфікацію злочину.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Нове повідомлення особи про підозру має бути складено і повідомлено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підозрюваному у звичайному порядку – із додержанням вимог встановленими у ст.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278 КПК. Після цього підозрюваного слід допитати по суті повідомлення про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 xml:space="preserve">Доповнення </w:t>
      </w:r>
      <w:r w:rsidRPr="00EC4F50">
        <w:rPr>
          <w:rFonts w:ascii="TimesNewRomanPSMT" w:hAnsi="TimesNewRomanPSMT" w:cs="TimesNewRomanPSMT"/>
          <w:sz w:val="26"/>
          <w:szCs w:val="26"/>
        </w:rPr>
        <w:t>повідомлення про підозру необхідне у тих випадках, коли в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процесі розслідування, після повідомлення про підозру, з’ясовуються нові факти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злочинної діяльності особи. Додаткові обставини можуть обумовити підозру у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новому кримінальному правопорушенні або заміну підозри в одному кримінальному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правопорушенні на підозру в іншому.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Доповнення повідомлення про підозру може привести до зміни кваліфікації.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Тому слідчий, при необхідності доповнити повідомлення про підозру, повинен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скласти нове повідомлення про підозру особи та вручити їй це повідомлення.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 xml:space="preserve">Зміна повідомлення про підозру </w:t>
      </w:r>
      <w:r w:rsidRPr="00EC4F50">
        <w:rPr>
          <w:rFonts w:ascii="TimesNewRomanPSMT" w:hAnsi="TimesNewRomanPSMT" w:cs="TimesNewRomanPSMT"/>
          <w:sz w:val="26"/>
          <w:szCs w:val="26"/>
        </w:rPr>
        <w:t>(у вузькому розумінні цього поняття) може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обумовлюватися виявленням обставин, які змінюють характер відомостей,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викладених в попередньому повідомленні про підозру. Можуть бути уточнені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фактичні обставини скоєного (місце, час, спосіб діяння, характер і розмір шкоди і т.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ін.), виправлена раніше допущена помилка або неточність формулювання підозри.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В результаті іншої оцінки доказів може виникнути необхідність змінити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кваліфікацію. Якщо, наприклад, з’ясується, що має місце не закінчений злочин, а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початкова стадія злочинної діяльності, діяння підозрюваного слід кваліфікувати,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окрім, як за відповідною статтею КК, так і за ст. 14, 15 КК (приготування чи замах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на злочин). У випадках, коли встановлено, що форма співучасті підозрюваних у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скоєнні злочину не однакова, дії організаторів, підмовників і посібників слід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кваліфікувати по відповідній статті Кримінального Кодексу України, а також за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відповідною частиною ст. 27 КК України.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При необхідності змінити або доповнити повідомлення про підозру слід мати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на увазі, що нове повідомлення про підозру має бути узагальненою і виноситися не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 доповнення до попередніх повідомлень, а замість раніше складених повідомлень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про підозру. У цьому випадку раніше винесене повідомлення про підозру, яке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залишається в матеріалах провадження втрачає свою силу.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Такий порядок дозволить підозрюваному більш повно реалізувати своє право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на захист. Ознайомившись з актом, який містить повідомлення про підозру у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повному обсязі, підозрюваний має можливість глибше і ясніше усвідомити суть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підозри, яку важко було б досягти, якби підозра була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“розкидана”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по окремих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повідомленнях про підозру.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Наявність у справі декількох діючих повідомлень про підозру щодо однієї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особи, може дезорієнтувати самого підозрюваного, а також прокурора і суд. Щоб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таке не трапилось, нове повідомлення особи про підозру повинно бути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мотивованим, тобто містити пояснення необхідності винесення нового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узагальнюючого повідомлення.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Допит підозрюваного повинен проводитися слідчим у повному обсязі за всіма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викладеними в повідомленні епізодами злочину, а не тільки відносно змін чи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доповнень повідомлення про підозру порівняно з попереднім. Це обумовлюється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тим, що зміни і </w:t>
      </w:r>
      <w:r w:rsidRPr="00EC4F50">
        <w:rPr>
          <w:rFonts w:ascii="TimesNewRomanPSMT" w:hAnsi="TimesNewRomanPSMT" w:cs="TimesNewRomanPSMT"/>
          <w:sz w:val="26"/>
          <w:szCs w:val="26"/>
        </w:rPr>
        <w:lastRenderedPageBreak/>
        <w:t>доповнення повідомлення про підозру можуть вплинути на позицію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підозрюваного по відношенню до всієї підозри загалом, чи будь якої її частини.</w:t>
      </w:r>
    </w:p>
    <w:p w:rsidR="006D0DA2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Підозрюваний може змінити або доповнити свої показання, що має бути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зафіксовано в протоколі його допиту. Додержання рекомендованого порядку</w:t>
      </w:r>
      <w:r w:rsidR="00A667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дозволить у випадку необхідності своєчасно перевірити нові доводи підозрюваного.</w:t>
      </w:r>
    </w:p>
    <w:p w:rsidR="006D0DA2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C4F50">
        <w:rPr>
          <w:rFonts w:ascii="TimesNewRomanPSMT" w:hAnsi="TimesNewRomanPSMT" w:cs="TimesNewRomanPSMT"/>
          <w:b/>
          <w:bCs/>
          <w:sz w:val="26"/>
          <w:szCs w:val="26"/>
        </w:rPr>
        <w:t>РЕКОМЕНДОВАНІ НОРМАТИВНІ АКТИ ТА ЛІТЕРАТУРА</w:t>
      </w:r>
      <w:r w:rsidRPr="00EC4F50">
        <w:rPr>
          <w:rFonts w:ascii="TimesNewRomanPS-BoldMT" w:hAnsi="TimesNewRomanPS-BoldMT" w:cs="TimesNewRomanPS-BoldMT"/>
          <w:b/>
          <w:bCs/>
          <w:sz w:val="26"/>
          <w:szCs w:val="26"/>
        </w:rPr>
        <w:t>: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 xml:space="preserve">Конституція України : Закон України від 28 черв. 1996 р. ; зі змін. і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доповн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r w:rsidRPr="00EC4F50">
        <w:rPr>
          <w:rFonts w:ascii="TimesNewRomanPSMT" w:hAnsi="TimesNewRomanPSMT" w:cs="TimesNewRomanPSMT"/>
          <w:sz w:val="23"/>
          <w:szCs w:val="23"/>
        </w:rPr>
        <w:t>—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 :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Атіка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2012.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68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Кримінальний процесуальний кодекс України : Закон України від 13 квіт.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2012 р. // Голос України.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2012.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19 травня (№ 90</w:t>
      </w:r>
      <w:r w:rsidRPr="00EC4F50">
        <w:rPr>
          <w:rFonts w:ascii="TimesNewRomanPSMT" w:hAnsi="TimesNewRomanPSMT" w:cs="TimesNewRomanPSMT"/>
          <w:sz w:val="23"/>
          <w:szCs w:val="23"/>
        </w:rPr>
        <w:t>—</w:t>
      </w:r>
      <w:r w:rsidRPr="00EC4F50">
        <w:rPr>
          <w:rFonts w:ascii="TimesNewRomanPSMT" w:hAnsi="TimesNewRomanPSMT" w:cs="TimesNewRomanPSMT"/>
          <w:sz w:val="26"/>
          <w:szCs w:val="26"/>
        </w:rPr>
        <w:t>91).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Про організацію діяльності органів досудового слідства системи МВС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України : наказ МВС України від 31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берез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 2008 р. № 160.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Про затвердження Інструкції з організації взаємодії органів досудового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слідства з оперативними підрозділами ОВС на стадіях документування злочинних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дій, реалізації оперативних матеріалів, розслідування кримінальної справи та її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розгляді в суді : наказ МВС України від 07 вересня 2005 р. № 777.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Про проведення експерименту щодо апробації вертикальної системи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підпорядкування слідчих підрозділів органів внутрішніх справ України : наказ МВС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України від 15 черв. 2011 р. № 336.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Азаров Ю. І. Кримінально-процесуальне право України : [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навч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посіб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.] /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Азаров Ю. І., Заїка С. О.,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Фатхутдінов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В. Г.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 :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Кутеп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2008.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430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Берназ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В. Д. Рішення слідчого (криміналістичний, процесуальний та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психологічний аспекти) : [монографія] / В. Д.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Берназ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С. М.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Смоков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Одеса : ОЮІ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НУВС, 2005.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151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Досудове розслідування кримінальних справ : [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навч.-практ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посіб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.] /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Ю. І. Грошевий., В. В.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Вапнярчук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О. В.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Капліна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О. Г. Шило ; за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заг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 ред. Ю. М.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Грошевого.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Х. : ФІНН, 2009.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328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Дубинский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А. Я.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Привлечение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лица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в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качестве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обвиняемого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: [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учеб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 пособ.] /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А. Я.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Дубинский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В. А.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Сербулов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 :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КВШ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МВД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СССР, 1989.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56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Дубинский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А. Я.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Производство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предварительного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расследования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органами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внутренних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дел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: [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учеб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пособ.] /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Дубинский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А. Я. ;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КВШ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МВД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СССР.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К. : НИ 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РИО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КВШ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МВД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СССР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им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Ф. Э.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Дзержинского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1987.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84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 xml:space="preserve">Коваленко Є.Г.,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Маляренко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В.Т. Кримінальний процес України : [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підруч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.] /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. Г. Коваленко, В. Т.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Маляренко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 :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Юрінком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Інтер, 2008.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688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Карнеева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Л. М.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Особенности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предъявления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обвинения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и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допрос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обвиняемого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условиях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деятельности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органов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внутренних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дел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/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Карнеева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Л. М.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М. : МССШМ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МВД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СССР, 1989.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47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Кримінально-процесуальне право України : [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підруч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.] / за ред. Ю. П.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Аленіна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Х. : Одіссей, 2009.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816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Лобойко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Л. М. Кримінально-процесуальне право : курс лекцій : [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навч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посіб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.] /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Лобойко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Л. М.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 : Істина, 2005.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456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Михеєнко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М. М. Кримінальний процес України : [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підруч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.] /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Михеєнко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М. М.,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Нор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В. Т.,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Шибіко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В. П.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K. : Либідь, 1999.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534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Никоненко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М. Я Кримінально-процесуальні гарантії прав і законних інтересів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особи, яка підозрюється у вчиненні злочину : автореф. дис. на здобуття наук.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ступеня канд.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юрид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 наук : спец. 12.00.09 «Кримінальний процес та криміналістика ;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судова експертиза» / М. Я.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Никоненко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К., 2007.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17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Ожегов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С. И.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Толковый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словарь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русского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язика : 80000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слов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фразеологических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выражений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/ С. И.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Ожегов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Н. Ю. Шведова ;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Российская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академія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наук.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Институт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lastRenderedPageBreak/>
        <w:t>русского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языка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им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В. В. Виноградова.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[4-е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изд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.,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доп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.].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М. :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Азбуковник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1999.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944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Рогатюк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І. В. Обвинувачення у кримінальному процесі України : [монографія]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/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Рогатюк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І. В.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 :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Атіка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, 2007.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160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Удалова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Л. Д Кримінальний процес України : [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підруч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.] /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Удалова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Л. Д.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К. :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ПАЛИВОДА А.В., 2007.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352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EC4F50">
        <w:rPr>
          <w:rFonts w:ascii="TimesNewRomanPSMT" w:hAnsi="TimesNewRomanPSMT" w:cs="TimesNewRomanPSMT"/>
          <w:sz w:val="26"/>
          <w:szCs w:val="26"/>
        </w:rPr>
        <w:t>Чепурний О. О Кримінально-процесуальні функції на стадії досудового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розслідування : автореф. дис. на здобуття наук. ступеня канд.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юрид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 наук : спец.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>12.00.09 «Кримінальний процес та криміналістика ; судова експертиза» /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О. О. Чепурний.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К., 2005.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16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Черкова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М. Ю Зміна обвинувачення в кримінально-процесуальному праві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України : автореф. дис. на здобуття наук. ступеня канд.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юрид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 наук : спец. 12.00.09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«Кримінальний процес та криміналістика ; судова експертиза» / М. Ю.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Черкова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r w:rsidRPr="00EC4F50">
        <w:rPr>
          <w:rFonts w:ascii="TimesNewRomanPSMT" w:hAnsi="TimesNewRomanPSMT" w:cs="TimesNewRomanPSMT"/>
          <w:sz w:val="23"/>
          <w:szCs w:val="23"/>
        </w:rPr>
        <w:t>—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К., 2006.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18 с.</w:t>
      </w:r>
    </w:p>
    <w:p w:rsidR="006D0DA2" w:rsidRPr="00EC4F50" w:rsidRDefault="006D0DA2" w:rsidP="006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Щегель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 Н. І. Кримінальне переслідування : зміст та форма : автореф. дис. 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здобуття наук. ступеня канд.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юрид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>. наук : спец. 12.00.09 «Кримінальний процес та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криміналістика ; судова експертиза» / Н. І. </w:t>
      </w:r>
      <w:proofErr w:type="spellStart"/>
      <w:r w:rsidRPr="00EC4F50">
        <w:rPr>
          <w:rFonts w:ascii="TimesNewRomanPSMT" w:hAnsi="TimesNewRomanPSMT" w:cs="TimesNewRomanPSMT"/>
          <w:sz w:val="26"/>
          <w:szCs w:val="26"/>
        </w:rPr>
        <w:t>Щегель</w:t>
      </w:r>
      <w:proofErr w:type="spellEnd"/>
      <w:r w:rsidRPr="00EC4F50">
        <w:rPr>
          <w:rFonts w:ascii="TimesNewRomanPSMT" w:hAnsi="TimesNewRomanPSMT" w:cs="TimesNewRomanPSMT"/>
          <w:sz w:val="26"/>
          <w:szCs w:val="26"/>
        </w:rPr>
        <w:t xml:space="preserve">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 xml:space="preserve">К., 2007. </w:t>
      </w:r>
      <w:r w:rsidRPr="00EC4F50">
        <w:rPr>
          <w:rFonts w:ascii="TimesNewRomanPSMT" w:hAnsi="TimesNewRomanPSMT" w:cs="TimesNewRomanPSMT"/>
          <w:sz w:val="23"/>
          <w:szCs w:val="23"/>
        </w:rPr>
        <w:t xml:space="preserve">— </w:t>
      </w:r>
      <w:r w:rsidRPr="00EC4F50">
        <w:rPr>
          <w:rFonts w:ascii="TimesNewRomanPSMT" w:hAnsi="TimesNewRomanPSMT" w:cs="TimesNewRomanPSMT"/>
          <w:sz w:val="26"/>
          <w:szCs w:val="26"/>
        </w:rPr>
        <w:t>18 с.</w:t>
      </w:r>
    </w:p>
    <w:sectPr w:rsidR="006D0DA2" w:rsidRPr="00EC4F50" w:rsidSect="006D0DA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DA2"/>
    <w:rsid w:val="0049022F"/>
    <w:rsid w:val="00603F0D"/>
    <w:rsid w:val="006D0DA2"/>
    <w:rsid w:val="009D5A67"/>
    <w:rsid w:val="00A667C5"/>
    <w:rsid w:val="00A8535B"/>
    <w:rsid w:val="00C662DD"/>
    <w:rsid w:val="00DB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25200</Words>
  <Characters>14365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Tanusa</dc:creator>
  <cp:keywords/>
  <dc:description/>
  <cp:lastModifiedBy>Tanusa</cp:lastModifiedBy>
  <cp:revision>4</cp:revision>
  <dcterms:created xsi:type="dcterms:W3CDTF">2014-11-20T12:45:00Z</dcterms:created>
  <dcterms:modified xsi:type="dcterms:W3CDTF">2014-12-01T12:22:00Z</dcterms:modified>
</cp:coreProperties>
</file>