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3" w:rsidRDefault="002645F3" w:rsidP="001679F3">
      <w:pPr>
        <w:spacing w:line="0" w:lineRule="atLeast"/>
        <w:jc w:val="center"/>
        <w:rPr>
          <w:rFonts w:ascii="Arial" w:eastAsia="Arial" w:hAnsi="Arial"/>
          <w:b/>
          <w:color w:val="00000A"/>
          <w:lang w:val="uk-UA"/>
        </w:rPr>
      </w:pPr>
      <w:bookmarkStart w:id="0" w:name="page36"/>
      <w:bookmarkEnd w:id="0"/>
      <w:r>
        <w:rPr>
          <w:rFonts w:ascii="Arial" w:eastAsia="Arial" w:hAnsi="Arial"/>
          <w:b/>
          <w:color w:val="00000A"/>
        </w:rPr>
        <w:t>Тема 9</w:t>
      </w:r>
      <w:r w:rsidR="001679F3">
        <w:rPr>
          <w:rFonts w:ascii="Arial" w:eastAsia="Arial" w:hAnsi="Arial"/>
          <w:b/>
          <w:color w:val="00000A"/>
          <w:lang w:val="uk-UA"/>
        </w:rPr>
        <w:t xml:space="preserve">. </w:t>
      </w:r>
    </w:p>
    <w:p w:rsidR="001679F3" w:rsidRPr="001679F3" w:rsidRDefault="001679F3" w:rsidP="001679F3">
      <w:pPr>
        <w:spacing w:line="0" w:lineRule="atLeast"/>
        <w:rPr>
          <w:rFonts w:ascii="Arial" w:eastAsia="Arial" w:hAnsi="Arial"/>
          <w:b/>
          <w:color w:val="00000A"/>
          <w:lang w:val="uk-UA"/>
        </w:rPr>
      </w:pPr>
      <w:r>
        <w:rPr>
          <w:rFonts w:ascii="Arial" w:eastAsia="Arial" w:hAnsi="Arial"/>
          <w:b/>
          <w:color w:val="00000A"/>
          <w:lang w:val="uk-UA"/>
        </w:rPr>
        <w:t xml:space="preserve">    </w:t>
      </w:r>
      <w:r w:rsidR="007500A7">
        <w:rPr>
          <w:rFonts w:ascii="Arial" w:eastAsia="Arial" w:hAnsi="Arial"/>
          <w:b/>
          <w:color w:val="00000A"/>
          <w:lang w:val="uk-UA"/>
        </w:rPr>
        <w:t xml:space="preserve">         Використання </w:t>
      </w:r>
      <w:r w:rsidR="00871DD5">
        <w:rPr>
          <w:b/>
          <w:sz w:val="24"/>
          <w:szCs w:val="24"/>
          <w:lang w:val="uk-UA"/>
        </w:rPr>
        <w:t>світла</w:t>
      </w:r>
      <w:r w:rsidR="00542521">
        <w:rPr>
          <w:b/>
          <w:sz w:val="24"/>
          <w:szCs w:val="24"/>
          <w:lang w:val="uk-UA"/>
        </w:rPr>
        <w:t xml:space="preserve"> у</w:t>
      </w:r>
      <w:r w:rsidR="008D7D28">
        <w:rPr>
          <w:rFonts w:ascii="Arial" w:eastAsia="Arial" w:hAnsi="Arial"/>
          <w:b/>
          <w:color w:val="00000A"/>
          <w:lang w:val="uk-UA"/>
        </w:rPr>
        <w:t xml:space="preserve">   фізичній терапії.</w:t>
      </w:r>
    </w:p>
    <w:p w:rsidR="002645F3" w:rsidRDefault="002645F3" w:rsidP="002645F3">
      <w:pPr>
        <w:spacing w:line="0" w:lineRule="atLeast"/>
        <w:ind w:right="-19"/>
        <w:jc w:val="center"/>
        <w:rPr>
          <w:rFonts w:ascii="Arial" w:eastAsia="Arial" w:hAnsi="Arial"/>
          <w:b/>
          <w:color w:val="00000A"/>
        </w:rPr>
      </w:pPr>
    </w:p>
    <w:p w:rsidR="002645F3" w:rsidRDefault="002645F3" w:rsidP="002645F3">
      <w:pPr>
        <w:spacing w:line="126" w:lineRule="exact"/>
        <w:rPr>
          <w:rFonts w:ascii="Times New Roman" w:eastAsia="Times New Roman" w:hAnsi="Times New Roman"/>
        </w:rPr>
      </w:pPr>
    </w:p>
    <w:p w:rsidR="002C4ED8" w:rsidRDefault="002645F3" w:rsidP="002C4ED8">
      <w:pPr>
        <w:spacing w:line="230" w:lineRule="auto"/>
        <w:ind w:left="580"/>
        <w:rPr>
          <w:rFonts w:ascii="Times New Roman" w:eastAsia="Times New Roman" w:hAnsi="Times New Roman"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Тривалість викладання теми:</w:t>
      </w:r>
      <w:r>
        <w:rPr>
          <w:rFonts w:ascii="Times New Roman" w:eastAsia="Times New Roman" w:hAnsi="Times New Roman"/>
          <w:color w:val="00000A"/>
        </w:rPr>
        <w:t xml:space="preserve"> 1 заняття, </w:t>
      </w:r>
      <w:r>
        <w:rPr>
          <w:rFonts w:ascii="Times New Roman" w:eastAsia="Times New Roman" w:hAnsi="Times New Roman"/>
          <w:color w:val="00000A"/>
          <w:lang w:val="uk-UA"/>
        </w:rPr>
        <w:t xml:space="preserve">2 </w:t>
      </w:r>
      <w:r>
        <w:rPr>
          <w:rFonts w:ascii="Times New Roman" w:eastAsia="Times New Roman" w:hAnsi="Times New Roman"/>
          <w:color w:val="00000A"/>
        </w:rPr>
        <w:t>академічні години.</w:t>
      </w:r>
      <w:r>
        <w:rPr>
          <w:rFonts w:ascii="Times New Roman" w:eastAsia="Times New Roman" w:hAnsi="Times New Roman"/>
          <w:b/>
          <w:color w:val="00000A"/>
        </w:rPr>
        <w:t xml:space="preserve"> Обґрунтування теми.</w:t>
      </w:r>
      <w:r>
        <w:rPr>
          <w:rFonts w:ascii="Times New Roman" w:eastAsia="Times New Roman" w:hAnsi="Times New Roman"/>
          <w:color w:val="00000A"/>
        </w:rPr>
        <w:t xml:space="preserve"> </w:t>
      </w:r>
      <w:r w:rsidR="002C4ED8">
        <w:t>У цей час об’єктивними методами доведено вели</w:t>
      </w:r>
      <w:r w:rsidR="00870A73">
        <w:t>ку кількість лікувальних ефекті</w:t>
      </w:r>
      <w:r w:rsidR="00870A73">
        <w:rPr>
          <w:lang w:val="uk-UA"/>
        </w:rPr>
        <w:t>в</w:t>
      </w:r>
      <w:r w:rsidR="00542521">
        <w:rPr>
          <w:lang w:val="uk-UA"/>
        </w:rPr>
        <w:t xml:space="preserve"> </w:t>
      </w:r>
      <w:proofErr w:type="gramStart"/>
      <w:r w:rsidR="00871DD5">
        <w:rPr>
          <w:b/>
          <w:lang w:val="uk-UA"/>
        </w:rPr>
        <w:t>св</w:t>
      </w:r>
      <w:proofErr w:type="gramEnd"/>
      <w:r w:rsidR="00871DD5">
        <w:rPr>
          <w:b/>
          <w:lang w:val="uk-UA"/>
        </w:rPr>
        <w:t>ітлотерапії</w:t>
      </w:r>
      <w:r w:rsidR="002C4ED8">
        <w:t>, що пояснює поширення методу в лікувальній практиці</w:t>
      </w:r>
    </w:p>
    <w:p w:rsidR="002645F3" w:rsidRPr="009F39EA" w:rsidRDefault="002645F3" w:rsidP="009F39EA">
      <w:pPr>
        <w:spacing w:line="230" w:lineRule="auto"/>
        <w:ind w:left="580" w:hanging="566"/>
        <w:rPr>
          <w:rFonts w:ascii="Times New Roman" w:eastAsia="Times New Roman" w:hAnsi="Times New Roman"/>
          <w:color w:val="00000A"/>
          <w:lang w:val="uk-UA"/>
        </w:rPr>
      </w:pPr>
      <w:r>
        <w:rPr>
          <w:rFonts w:ascii="Times New Roman" w:eastAsia="Times New Roman" w:hAnsi="Times New Roman"/>
          <w:color w:val="00000A"/>
        </w:rPr>
        <w:t>.</w:t>
      </w:r>
      <w:r>
        <w:rPr>
          <w:rFonts w:ascii="Times New Roman" w:eastAsia="Times New Roman" w:hAnsi="Times New Roman"/>
          <w:b/>
          <w:color w:val="00000A"/>
        </w:rPr>
        <w:t xml:space="preserve"> Мета заняття.</w:t>
      </w:r>
      <w:r w:rsidR="009F39EA">
        <w:rPr>
          <w:rFonts w:ascii="Times New Roman" w:eastAsia="Times New Roman" w:hAnsi="Times New Roman"/>
          <w:color w:val="00000A"/>
        </w:rPr>
        <w:t xml:space="preserve"> </w:t>
      </w:r>
      <w:r w:rsidR="00F023E1">
        <w:rPr>
          <w:lang w:val="uk-UA"/>
        </w:rPr>
        <w:t>У</w:t>
      </w:r>
      <w:r w:rsidR="00F023E1">
        <w:t>міти обгрунт</w:t>
      </w:r>
      <w:r w:rsidR="007500A7">
        <w:t xml:space="preserve">овано застосовувати </w:t>
      </w:r>
      <w:r w:rsidR="00871DD5">
        <w:rPr>
          <w:lang w:val="uk-UA"/>
        </w:rPr>
        <w:t>світлотерапію</w:t>
      </w:r>
      <w:r w:rsidR="00542521">
        <w:rPr>
          <w:lang w:val="uk-UA"/>
        </w:rPr>
        <w:t xml:space="preserve"> з </w:t>
      </w:r>
      <w:r w:rsidR="00F023E1">
        <w:t>урахуванням механізму дії, показань і протипоказань в лікуванні різних патологічних станів.</w:t>
      </w:r>
    </w:p>
    <w:p w:rsidR="002645F3" w:rsidRDefault="002645F3" w:rsidP="002645F3">
      <w:pPr>
        <w:spacing w:line="4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eastAsia="Times New Roman" w:hAnsi="Times New Roman"/>
          <w:b/>
          <w:color w:val="00000A"/>
        </w:rPr>
        <w:t>Конкретні цілі: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Оцінити основні фізико-хімічні й фізіологіч</w:t>
      </w:r>
      <w:r w:rsidR="007500A7">
        <w:rPr>
          <w:lang w:val="uk-UA"/>
        </w:rPr>
        <w:t>ні ефекти в дії</w:t>
      </w:r>
      <w:r w:rsidR="00871DD5">
        <w:rPr>
          <w:lang w:val="uk-UA"/>
        </w:rPr>
        <w:t xml:space="preserve"> світлотерапії</w:t>
      </w:r>
      <w:r w:rsidRPr="00F023E1">
        <w:rPr>
          <w:lang w:val="uk-UA"/>
        </w:rPr>
        <w:t xml:space="preserve">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Пояснити основну</w:t>
      </w:r>
      <w:r w:rsidR="00870A73">
        <w:rPr>
          <w:lang w:val="uk-UA"/>
        </w:rPr>
        <w:t xml:space="preserve"> мету призначення </w:t>
      </w:r>
      <w:r w:rsidR="00871DD5">
        <w:rPr>
          <w:lang w:val="uk-UA"/>
        </w:rPr>
        <w:t xml:space="preserve"> світло терапії </w:t>
      </w:r>
      <w:r w:rsidR="00542521">
        <w:rPr>
          <w:lang w:val="uk-UA"/>
        </w:rPr>
        <w:t xml:space="preserve"> </w:t>
      </w:r>
      <w:r w:rsidRPr="00F023E1">
        <w:rPr>
          <w:lang w:val="uk-UA"/>
        </w:rPr>
        <w:t xml:space="preserve">при різній патології; </w:t>
      </w:r>
    </w:p>
    <w:p w:rsidR="00F023E1" w:rsidRDefault="00F023E1" w:rsidP="002645F3">
      <w:pPr>
        <w:spacing w:line="0" w:lineRule="atLeast"/>
        <w:ind w:left="580"/>
        <w:rPr>
          <w:lang w:val="uk-UA"/>
        </w:rPr>
      </w:pPr>
      <w:r w:rsidRPr="00F023E1">
        <w:rPr>
          <w:lang w:val="uk-UA"/>
        </w:rPr>
        <w:t>- Визначити показання і протипок</w:t>
      </w:r>
      <w:r w:rsidR="007500A7">
        <w:rPr>
          <w:lang w:val="uk-UA"/>
        </w:rPr>
        <w:t xml:space="preserve">азання до використання  </w:t>
      </w:r>
      <w:r w:rsidRPr="00F023E1">
        <w:rPr>
          <w:lang w:val="uk-UA"/>
        </w:rPr>
        <w:t xml:space="preserve">; </w:t>
      </w:r>
    </w:p>
    <w:p w:rsidR="00F023E1" w:rsidRPr="00F023E1" w:rsidRDefault="00F023E1" w:rsidP="002645F3">
      <w:pPr>
        <w:spacing w:line="0" w:lineRule="atLeast"/>
        <w:ind w:left="580"/>
        <w:rPr>
          <w:rFonts w:ascii="Times New Roman" w:eastAsia="Times New Roman" w:hAnsi="Times New Roman"/>
          <w:b/>
          <w:color w:val="00000A"/>
          <w:lang w:val="uk-UA"/>
        </w:rPr>
      </w:pPr>
      <w:r w:rsidRPr="00F023E1">
        <w:rPr>
          <w:lang w:val="uk-UA"/>
        </w:rPr>
        <w:t xml:space="preserve">- Пояснити вибір методики і дозування при призначенні </w:t>
      </w:r>
      <w:r w:rsidR="00871DD5">
        <w:rPr>
          <w:b/>
          <w:lang w:val="uk-UA"/>
        </w:rPr>
        <w:t xml:space="preserve"> світлотерапії</w:t>
      </w:r>
      <w:r w:rsidR="00542521">
        <w:rPr>
          <w:b/>
          <w:lang w:val="uk-UA"/>
        </w:rPr>
        <w:t xml:space="preserve"> </w:t>
      </w:r>
      <w:r w:rsidR="00726369">
        <w:rPr>
          <w:b/>
          <w:lang w:val="uk-UA"/>
        </w:rPr>
        <w:t xml:space="preserve">. </w:t>
      </w:r>
      <w:r w:rsidR="00726369">
        <w:rPr>
          <w:b/>
          <w:sz w:val="22"/>
          <w:szCs w:val="22"/>
          <w:lang w:val="uk-UA"/>
        </w:rPr>
        <w:t xml:space="preserve">   </w:t>
      </w:r>
    </w:p>
    <w:p w:rsidR="002645F3" w:rsidRDefault="002645F3" w:rsidP="002645F3">
      <w:pPr>
        <w:spacing w:line="230" w:lineRule="auto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Знати:</w:t>
      </w: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</w:rPr>
      </w:pP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t>1</w:t>
      </w:r>
      <w:r>
        <w:rPr>
          <w:rFonts w:ascii="Times New Roman" w:hAnsi="Times New Roman" w:cs="Times New Roman"/>
        </w:rPr>
        <w:t>. Фізичн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  <w:lang w:val="uk-UA"/>
        </w:rPr>
        <w:t>у</w:t>
      </w:r>
      <w:r w:rsidR="00870A73">
        <w:rPr>
          <w:b/>
          <w:lang w:val="uk-UA"/>
        </w:rPr>
        <w:t xml:space="preserve"> </w:t>
      </w:r>
      <w:proofErr w:type="gramStart"/>
      <w:r w:rsidR="00871DD5">
        <w:rPr>
          <w:b/>
          <w:lang w:val="uk-UA"/>
        </w:rPr>
        <w:t>св</w:t>
      </w:r>
      <w:proofErr w:type="gramEnd"/>
      <w:r w:rsidR="00871DD5">
        <w:rPr>
          <w:b/>
          <w:lang w:val="uk-UA"/>
        </w:rPr>
        <w:t>ітла</w:t>
      </w:r>
      <w:r w:rsidR="00542521">
        <w:rPr>
          <w:b/>
          <w:lang w:val="uk-UA"/>
        </w:rPr>
        <w:t xml:space="preserve">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2. Апаратур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. </w:t>
      </w:r>
    </w:p>
    <w:p w:rsidR="00671993" w:rsidRDefault="00671993" w:rsidP="00671993">
      <w:pPr>
        <w:tabs>
          <w:tab w:val="left" w:pos="780"/>
        </w:tabs>
        <w:spacing w:line="0" w:lineRule="atLeast"/>
        <w:rPr>
          <w:rFonts w:ascii="Times New Roman" w:hAnsi="Times New Roman" w:cs="Times New Roman"/>
          <w:lang w:val="uk-UA"/>
        </w:rPr>
      </w:pPr>
      <w:r w:rsidRPr="00F023E1">
        <w:rPr>
          <w:rFonts w:ascii="Times New Roman" w:hAnsi="Times New Roman" w:cs="Times New Roman"/>
          <w:lang w:val="uk-UA"/>
        </w:rPr>
        <w:t xml:space="preserve">3. Механізми дії. </w:t>
      </w:r>
    </w:p>
    <w:p w:rsidR="002645F3" w:rsidRDefault="00671993" w:rsidP="00671993">
      <w:pPr>
        <w:tabs>
          <w:tab w:val="left" w:pos="780"/>
        </w:tabs>
        <w:spacing w:line="0" w:lineRule="atLeast"/>
        <w:rPr>
          <w:rFonts w:ascii="Times New Roman" w:eastAsia="Times New Roman" w:hAnsi="Times New Roman"/>
          <w:color w:val="00000A"/>
        </w:rPr>
      </w:pPr>
      <w:r w:rsidRPr="00671993">
        <w:rPr>
          <w:rFonts w:ascii="Times New Roman" w:hAnsi="Times New Roman" w:cs="Times New Roman"/>
        </w:rPr>
        <w:t>4. Показання і протипоказання до призначення чинника</w:t>
      </w:r>
    </w:p>
    <w:p w:rsidR="002645F3" w:rsidRPr="00671993" w:rsidRDefault="002645F3" w:rsidP="002645F3">
      <w:pPr>
        <w:spacing w:line="232" w:lineRule="auto"/>
        <w:ind w:left="20"/>
        <w:rPr>
          <w:rFonts w:ascii="Times New Roman" w:eastAsia="Times New Roman" w:hAnsi="Times New Roman"/>
          <w:color w:val="00000A"/>
          <w:lang w:val="uk-UA"/>
        </w:rPr>
      </w:pPr>
    </w:p>
    <w:p w:rsidR="002645F3" w:rsidRDefault="002645F3" w:rsidP="002645F3">
      <w:pPr>
        <w:spacing w:line="1" w:lineRule="exact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0" w:lineRule="atLeast"/>
        <w:ind w:left="580"/>
        <w:rPr>
          <w:rFonts w:ascii="Times New Roman" w:eastAsia="Times New Roman" w:hAnsi="Times New Roman"/>
          <w:i/>
          <w:color w:val="00000A"/>
        </w:rPr>
      </w:pPr>
      <w:r>
        <w:rPr>
          <w:rFonts w:ascii="Times New Roman" w:eastAsia="Times New Roman" w:hAnsi="Times New Roman"/>
          <w:i/>
          <w:color w:val="00000A"/>
        </w:rPr>
        <w:t>Вміти: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</w:rPr>
        <w:t>. Технік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відпускання процедур. </w:t>
      </w:r>
    </w:p>
    <w:p w:rsidR="00671993" w:rsidRDefault="00671993" w:rsidP="00671993">
      <w:pPr>
        <w:pStyle w:val="a4"/>
        <w:spacing w:line="0" w:lineRule="atLeast"/>
        <w:ind w:left="0"/>
        <w:rPr>
          <w:rFonts w:ascii="Times New Roman" w:hAnsi="Times New Roman" w:cs="Times New Roman"/>
          <w:lang w:val="uk-UA"/>
        </w:rPr>
      </w:pPr>
      <w:r w:rsidRPr="00671993">
        <w:rPr>
          <w:rFonts w:ascii="Times New Roman" w:hAnsi="Times New Roman" w:cs="Times New Roman"/>
        </w:rPr>
        <w:t xml:space="preserve">6. Методики </w:t>
      </w:r>
      <w:proofErr w:type="gramStart"/>
      <w:r w:rsidRPr="00671993">
        <w:rPr>
          <w:rFonts w:ascii="Times New Roman" w:hAnsi="Times New Roman" w:cs="Times New Roman"/>
        </w:rPr>
        <w:t>л</w:t>
      </w:r>
      <w:proofErr w:type="gramEnd"/>
      <w:r w:rsidRPr="00671993">
        <w:rPr>
          <w:rFonts w:ascii="Times New Roman" w:hAnsi="Times New Roman" w:cs="Times New Roman"/>
        </w:rPr>
        <w:t xml:space="preserve">ікування. </w:t>
      </w:r>
    </w:p>
    <w:p w:rsidR="00671993" w:rsidRPr="00671993" w:rsidRDefault="00671993" w:rsidP="00671993">
      <w:pPr>
        <w:pStyle w:val="a4"/>
        <w:spacing w:line="0" w:lineRule="atLeast"/>
        <w:ind w:left="0"/>
        <w:rPr>
          <w:rFonts w:ascii="Times New Roman" w:eastAsia="Times New Roman" w:hAnsi="Times New Roman"/>
          <w:b/>
          <w:color w:val="00000A"/>
          <w:lang w:val="uk-UA"/>
        </w:rPr>
      </w:pPr>
      <w:r>
        <w:rPr>
          <w:rFonts w:ascii="Times New Roman" w:hAnsi="Times New Roman" w:cs="Times New Roman"/>
        </w:rPr>
        <w:t>7. Рецептур</w:t>
      </w:r>
      <w:r>
        <w:rPr>
          <w:rFonts w:ascii="Times New Roman" w:hAnsi="Times New Roman" w:cs="Times New Roman"/>
          <w:lang w:val="uk-UA"/>
        </w:rPr>
        <w:t>у</w:t>
      </w:r>
      <w:r w:rsidRPr="00671993">
        <w:rPr>
          <w:rFonts w:ascii="Times New Roman" w:hAnsi="Times New Roman" w:cs="Times New Roman"/>
        </w:rPr>
        <w:t xml:space="preserve"> призначення</w:t>
      </w:r>
      <w:r w:rsidR="00870A73">
        <w:rPr>
          <w:b/>
          <w:lang w:val="uk-UA"/>
        </w:rPr>
        <w:t xml:space="preserve">  </w:t>
      </w:r>
      <w:proofErr w:type="gramStart"/>
      <w:r w:rsidR="00871DD5">
        <w:rPr>
          <w:b/>
          <w:lang w:val="uk-UA"/>
        </w:rPr>
        <w:t>св</w:t>
      </w:r>
      <w:proofErr w:type="gramEnd"/>
      <w:r w:rsidR="00871DD5">
        <w:rPr>
          <w:b/>
          <w:lang w:val="uk-UA"/>
        </w:rPr>
        <w:t>ітлотерапї</w:t>
      </w:r>
      <w:r w:rsidR="00542521">
        <w:rPr>
          <w:b/>
          <w:lang w:val="uk-UA"/>
        </w:rPr>
        <w:t xml:space="preserve"> </w:t>
      </w:r>
      <w:r>
        <w:t>.</w:t>
      </w:r>
      <w:r w:rsidRPr="00671993">
        <w:rPr>
          <w:lang w:val="uk-UA"/>
        </w:rPr>
        <w:t xml:space="preserve"> </w:t>
      </w:r>
    </w:p>
    <w:p w:rsidR="002645F3" w:rsidRDefault="002645F3" w:rsidP="00671993">
      <w:pPr>
        <w:tabs>
          <w:tab w:val="left" w:pos="780"/>
        </w:tabs>
        <w:spacing w:line="0" w:lineRule="atLeast"/>
        <w:ind w:left="780"/>
        <w:rPr>
          <w:rFonts w:ascii="Times New Roman" w:eastAsia="Times New Roman" w:hAnsi="Times New Roman"/>
          <w:color w:val="00000A"/>
        </w:rPr>
      </w:pPr>
    </w:p>
    <w:p w:rsidR="002645F3" w:rsidRDefault="002645F3" w:rsidP="002645F3">
      <w:pPr>
        <w:spacing w:line="233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Графологічна структура теми</w:t>
      </w:r>
    </w:p>
    <w:p w:rsidR="002645F3" w:rsidRDefault="002645F3" w:rsidP="002645F3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>План заняття</w:t>
      </w:r>
    </w:p>
    <w:p w:rsidR="002645F3" w:rsidRDefault="002645F3" w:rsidP="002645F3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380"/>
        <w:gridCol w:w="460"/>
      </w:tblGrid>
      <w:tr w:rsidR="002645F3" w:rsidTr="002645F3">
        <w:trPr>
          <w:trHeight w:val="184"/>
        </w:trPr>
        <w:tc>
          <w:tcPr>
            <w:tcW w:w="12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Default="002645F3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45F3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1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Перев</w:t>
            </w:r>
            <w:proofErr w:type="gramEnd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ірка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пройденного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матеріалу............................................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...........................................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 xml:space="preserve"> хв</w:t>
            </w:r>
          </w:p>
        </w:tc>
      </w:tr>
      <w:tr w:rsidR="002645F3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194F7C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  <w:t>2</w:t>
            </w:r>
            <w:r w:rsidR="002645F3"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2645F3" w:rsidRDefault="002645F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Ознайомлення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194F7C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фізичною характеристикою і механізмом дії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..............................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.............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</w:t>
            </w:r>
          </w:p>
        </w:tc>
        <w:tc>
          <w:tcPr>
            <w:tcW w:w="460" w:type="dxa"/>
            <w:vAlign w:val="bottom"/>
            <w:hideMark/>
          </w:tcPr>
          <w:p w:rsidR="002645F3" w:rsidRDefault="00F05540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>
              <w:rPr>
                <w:rFonts w:ascii="Arial Narrow" w:eastAsia="Arial Narrow" w:hAnsi="Arial Narrow"/>
                <w:color w:val="00000A"/>
                <w:w w:val="94"/>
                <w:sz w:val="16"/>
                <w:lang w:eastAsia="en-US"/>
              </w:rPr>
              <w:t>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72"/>
                <w:sz w:val="16"/>
                <w:lang w:eastAsia="en-US"/>
              </w:rPr>
              <w:t>.</w:t>
            </w:r>
          </w:p>
        </w:tc>
        <w:tc>
          <w:tcPr>
            <w:tcW w:w="5380" w:type="dxa"/>
            <w:vAlign w:val="bottom"/>
            <w:hideMark/>
          </w:tcPr>
          <w:p w:rsidR="00194F7C" w:rsidRPr="00F05540" w:rsidRDefault="00194F7C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3.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ь </w:t>
            </w: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ь</w:t>
            </w:r>
            <w:r w:rsidRPr="00194F7C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  <w:r w:rsidR="002645F3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. . . . . . . . . . .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 ……....15х               </w:t>
            </w:r>
            <w:r w:rsidR="00F05540" w:rsidRPr="00F05540">
              <w:rPr>
                <w:sz w:val="16"/>
                <w:szCs w:val="16"/>
                <w:lang w:val="uk-UA"/>
              </w:rPr>
              <w:t>4</w:t>
            </w:r>
            <w:r w:rsidR="00F05540">
              <w:rPr>
                <w:lang w:val="uk-UA"/>
              </w:rPr>
              <w:t>.</w:t>
            </w:r>
            <w:r w:rsidRPr="00194F7C">
              <w:rPr>
                <w:sz w:val="16"/>
                <w:szCs w:val="16"/>
                <w:lang w:val="uk-UA"/>
              </w:rPr>
              <w:t>Засвоєння</w:t>
            </w:r>
            <w:r>
              <w:rPr>
                <w:lang w:val="uk-UA"/>
              </w:rPr>
              <w:t xml:space="preserve"> 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ехнік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и </w:t>
            </w:r>
            <w:r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 Методики лікування</w:t>
            </w:r>
            <w:r w:rsidR="002645F3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. . . . .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…………15хв</w:t>
            </w:r>
          </w:p>
          <w:p w:rsidR="00194F7C" w:rsidRPr="00194F7C" w:rsidRDefault="00194F7C" w:rsidP="005310E5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5.</w:t>
            </w:r>
            <w:r w:rsidR="00F05540" w:rsidRPr="00F05540">
              <w:rPr>
                <w:lang w:val="uk-UA"/>
              </w:rPr>
              <w:t xml:space="preserve"> </w:t>
            </w:r>
            <w:r w:rsid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Рецептура</w:t>
            </w:r>
            <w:r w:rsidR="00F05540" w:rsidRPr="00F05540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призначення </w:t>
            </w:r>
            <w:r w:rsidR="005310E5" w:rsidRP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імпульсних струмів</w:t>
            </w:r>
            <w:r w:rsidR="005310E5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F05540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15</w:t>
            </w:r>
            <w:r w:rsidR="002645F3"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F05540">
            <w:pPr>
              <w:spacing w:line="0" w:lineRule="atLeas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Підведення підсумків заняття</w:t>
            </w: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0" w:lineRule="atLeas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>10</w:t>
            </w:r>
            <w:r w:rsidRPr="00F05540"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  <w:t xml:space="preserve"> хв</w:t>
            </w:r>
          </w:p>
        </w:tc>
      </w:tr>
      <w:tr w:rsidR="002645F3" w:rsidRPr="00F05540" w:rsidTr="002645F3">
        <w:trPr>
          <w:trHeight w:val="182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jc w:val="right"/>
              <w:rPr>
                <w:rFonts w:ascii="Arial Narrow" w:eastAsia="Arial Narrow" w:hAnsi="Arial Narrow"/>
                <w:color w:val="00000A"/>
                <w:w w:val="72"/>
                <w:sz w:val="16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 w:rsidP="00194F7C">
            <w:pPr>
              <w:spacing w:line="183" w:lineRule="exact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183" w:lineRule="exact"/>
              <w:ind w:left="120"/>
              <w:rPr>
                <w:rFonts w:ascii="Arial Narrow" w:eastAsia="Arial Narrow" w:hAnsi="Arial Narrow"/>
                <w:color w:val="00000A"/>
                <w:w w:val="94"/>
                <w:sz w:val="16"/>
                <w:lang w:val="uk-UA" w:eastAsia="en-US"/>
              </w:rPr>
            </w:pPr>
          </w:p>
        </w:tc>
      </w:tr>
      <w:tr w:rsidR="002645F3" w:rsidRPr="00F05540" w:rsidTr="002645F3">
        <w:trPr>
          <w:trHeight w:val="185"/>
        </w:trPr>
        <w:tc>
          <w:tcPr>
            <w:tcW w:w="12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538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460" w:type="dxa"/>
            <w:vAlign w:val="bottom"/>
            <w:hideMark/>
          </w:tcPr>
          <w:p w:rsidR="002645F3" w:rsidRPr="00F05540" w:rsidRDefault="002645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</w:tr>
    </w:tbl>
    <w:p w:rsidR="002645F3" w:rsidRPr="00F05540" w:rsidRDefault="002645F3" w:rsidP="002645F3">
      <w:pPr>
        <w:spacing w:line="237" w:lineRule="exact"/>
        <w:rPr>
          <w:rFonts w:ascii="Times New Roman" w:eastAsia="Times New Roman" w:hAnsi="Times New Roman"/>
          <w:lang w:val="uk-UA"/>
        </w:rPr>
      </w:pPr>
    </w:p>
    <w:p w:rsidR="002645F3" w:rsidRDefault="002645F3" w:rsidP="002645F3">
      <w:pPr>
        <w:spacing w:line="230" w:lineRule="auto"/>
        <w:ind w:left="20" w:firstLine="567"/>
        <w:rPr>
          <w:rFonts w:ascii="Times New Roman" w:eastAsia="Times New Roman" w:hAnsi="Times New Roman"/>
          <w:color w:val="00000A"/>
        </w:rPr>
      </w:pPr>
      <w:r w:rsidRPr="00F05540">
        <w:rPr>
          <w:rFonts w:ascii="Times New Roman" w:eastAsia="Times New Roman" w:hAnsi="Times New Roman"/>
          <w:b/>
          <w:color w:val="00000A"/>
          <w:lang w:val="uk-UA"/>
        </w:rPr>
        <w:t>Навчально-матеріальне забезпечення заняття.</w:t>
      </w:r>
      <w:r w:rsidRPr="00F05540">
        <w:rPr>
          <w:rFonts w:ascii="Times New Roman" w:eastAsia="Times New Roman" w:hAnsi="Times New Roman"/>
          <w:color w:val="00000A"/>
          <w:lang w:val="uk-UA"/>
        </w:rPr>
        <w:t xml:space="preserve"> Конспект лекції, п</w:t>
      </w:r>
      <w:r>
        <w:rPr>
          <w:rFonts w:ascii="Times New Roman" w:eastAsia="Times New Roman" w:hAnsi="Times New Roman"/>
          <w:color w:val="00000A"/>
        </w:rPr>
        <w:t>ідручники та навчальні посібники, нові дані з періодичних видань.</w:t>
      </w:r>
    </w:p>
    <w:p w:rsidR="002645F3" w:rsidRDefault="002645F3" w:rsidP="002645F3">
      <w:pPr>
        <w:spacing w:line="237" w:lineRule="exact"/>
        <w:rPr>
          <w:rFonts w:ascii="Times New Roman" w:eastAsia="Times New Roman" w:hAnsi="Times New Roman"/>
        </w:rPr>
      </w:pPr>
    </w:p>
    <w:p w:rsidR="002645F3" w:rsidRDefault="002645F3" w:rsidP="002645F3">
      <w:pPr>
        <w:spacing w:line="0" w:lineRule="atLeast"/>
        <w:jc w:val="center"/>
        <w:rPr>
          <w:rFonts w:ascii="Times New Roman" w:eastAsia="Times New Roman" w:hAnsi="Times New Roman"/>
          <w:b/>
          <w:color w:val="00000A"/>
        </w:rPr>
      </w:pPr>
      <w:r>
        <w:rPr>
          <w:rFonts w:ascii="Times New Roman" w:eastAsia="Times New Roman" w:hAnsi="Times New Roman"/>
          <w:b/>
          <w:color w:val="00000A"/>
        </w:rPr>
        <w:t xml:space="preserve">Технологічна карта проведення </w:t>
      </w:r>
      <w:proofErr w:type="gramStart"/>
      <w:r>
        <w:rPr>
          <w:rFonts w:ascii="Times New Roman" w:eastAsia="Times New Roman" w:hAnsi="Times New Roman"/>
          <w:b/>
          <w:color w:val="00000A"/>
        </w:rPr>
        <w:t>практичного</w:t>
      </w:r>
      <w:proofErr w:type="gramEnd"/>
      <w:r>
        <w:rPr>
          <w:rFonts w:ascii="Times New Roman" w:eastAsia="Times New Roman" w:hAnsi="Times New Roman"/>
          <w:b/>
          <w:color w:val="00000A"/>
        </w:rPr>
        <w:t xml:space="preserve"> заняття</w:t>
      </w:r>
    </w:p>
    <w:p w:rsidR="002645F3" w:rsidRDefault="002645F3" w:rsidP="002645F3">
      <w:pPr>
        <w:spacing w:line="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2400"/>
        <w:gridCol w:w="3560"/>
      </w:tblGrid>
      <w:tr w:rsidR="002645F3" w:rsidTr="002645F3">
        <w:trPr>
          <w:trHeight w:val="189"/>
        </w:trPr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jc w:val="center"/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9"/>
                <w:sz w:val="16"/>
                <w:lang w:eastAsia="en-US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0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Навчальний теоретичний матеріал</w:t>
            </w:r>
          </w:p>
        </w:tc>
        <w:tc>
          <w:tcPr>
            <w:tcW w:w="356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0" w:lineRule="atLeast"/>
              <w:ind w:left="134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Методичні дії</w:t>
            </w:r>
          </w:p>
        </w:tc>
      </w:tr>
      <w:tr w:rsidR="002645F3" w:rsidTr="002645F3">
        <w:trPr>
          <w:trHeight w:val="183"/>
        </w:trPr>
        <w:tc>
          <w:tcPr>
            <w:tcW w:w="46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83" w:lineRule="exact"/>
              <w:jc w:val="center"/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з/</w:t>
            </w:r>
            <w:proofErr w:type="gramStart"/>
            <w: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240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</w:p>
        </w:tc>
      </w:tr>
      <w:tr w:rsidR="002645F3" w:rsidTr="002645F3">
        <w:trPr>
          <w:trHeight w:val="94"/>
        </w:trPr>
        <w:tc>
          <w:tcPr>
            <w:tcW w:w="46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645F3" w:rsidRDefault="002645F3">
            <w:pPr>
              <w:rPr>
                <w:rFonts w:ascii="Arial Narrow" w:eastAsia="Arial Narrow" w:hAnsi="Arial Narrow"/>
                <w:color w:val="00000A"/>
                <w:w w:val="95"/>
                <w:sz w:val="16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2645F3" w:rsidRDefault="002645F3">
            <w:pPr>
              <w:spacing w:line="0" w:lineRule="atLeast"/>
              <w:rPr>
                <w:rFonts w:ascii="Times New Roman" w:eastAsia="Times New Roman" w:hAnsi="Times New Roman"/>
                <w:sz w:val="8"/>
                <w:lang w:eastAsia="en-US"/>
              </w:rPr>
            </w:pPr>
          </w:p>
        </w:tc>
      </w:tr>
      <w:tr w:rsidR="002645F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Знання пройденого матеріалу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Опитування студенті</w:t>
            </w:r>
            <w:proofErr w:type="gramStart"/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в</w:t>
            </w:r>
            <w:proofErr w:type="gramEnd"/>
          </w:p>
        </w:tc>
      </w:tr>
      <w:tr w:rsidR="002645F3" w:rsidTr="002645F3">
        <w:trPr>
          <w:trHeight w:val="173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Default="002645F3">
            <w:pPr>
              <w:spacing w:line="173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671993">
            <w:pPr>
              <w:spacing w:line="173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 w:rsidRPr="00671993">
              <w:rPr>
                <w:rFonts w:ascii="Times New Roman" w:hAnsi="Times New Roman" w:cs="Times New Roman"/>
                <w:sz w:val="18"/>
                <w:szCs w:val="18"/>
              </w:rPr>
              <w:t>Фізи</w:t>
            </w:r>
            <w:r w:rsidR="005310E5">
              <w:rPr>
                <w:rFonts w:ascii="Times New Roman" w:hAnsi="Times New Roman" w:cs="Times New Roman"/>
                <w:sz w:val="18"/>
                <w:szCs w:val="18"/>
              </w:rPr>
              <w:t xml:space="preserve">чна характеристика </w:t>
            </w:r>
            <w:proofErr w:type="gramStart"/>
            <w:r w:rsidR="00871D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</w:t>
            </w:r>
            <w:proofErr w:type="gramEnd"/>
            <w:r w:rsidR="00871D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ітла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2645F3" w:rsidRPr="00870A73" w:rsidRDefault="002645F3" w:rsidP="00542521">
            <w:pPr>
              <w:spacing w:line="173" w:lineRule="exact"/>
              <w:rPr>
                <w:rFonts w:ascii="Arial Narrow" w:eastAsia="Arial Narrow" w:hAnsi="Arial Narrow"/>
                <w:color w:val="00000A"/>
                <w:w w:val="98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w w:val="98"/>
                <w:sz w:val="16"/>
                <w:lang w:eastAsia="en-US"/>
              </w:rPr>
              <w:t xml:space="preserve">Ознайомлення з 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ізичн</w:t>
            </w:r>
            <w:r w:rsidR="006719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ими </w:t>
            </w:r>
            <w:r w:rsidR="00671993">
              <w:rPr>
                <w:rFonts w:ascii="Times New Roman" w:hAnsi="Times New Roman" w:cs="Times New Roman"/>
                <w:sz w:val="18"/>
                <w:szCs w:val="18"/>
              </w:rPr>
              <w:t>характеристи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ками </w:t>
            </w:r>
            <w:r w:rsidR="005425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ультразвуку</w:t>
            </w:r>
          </w:p>
        </w:tc>
      </w:tr>
      <w:tr w:rsidR="00671993" w:rsidRPr="007500A7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542521" w:rsidRDefault="005310E5" w:rsidP="00542521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Механізми дії </w:t>
            </w:r>
            <w:proofErr w:type="gramStart"/>
            <w:r w:rsidR="00871D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</w:t>
            </w:r>
            <w:proofErr w:type="gramEnd"/>
            <w:r w:rsidR="00871D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ітлотерапії</w:t>
            </w:r>
            <w:r w:rsidR="0054252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671993" w:rsidRPr="00EA0EF8" w:rsidRDefault="00542521" w:rsidP="00542521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Ознай</w:t>
            </w:r>
            <w:r w:rsidR="00EA0EF8" w:rsidRPr="00EA0E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омлення з механізми </w:t>
            </w:r>
            <w:r w:rsidR="00870A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дії </w:t>
            </w:r>
            <w:r w:rsidR="00871D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світлотерапії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671993" w:rsidRPr="007500A7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671993" w:rsidRDefault="00671993" w:rsidP="004C3220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. Показання і протипоказання до призначення чинника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Default="00671993" w:rsidP="00EA0EF8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Ознайомлення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 п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ми 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і протипоказання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ми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 до призначення чинника</w:t>
            </w:r>
          </w:p>
        </w:tc>
      </w:tr>
      <w:tr w:rsidR="00671993" w:rsidRPr="00EA0EF8" w:rsidTr="002645F3">
        <w:trPr>
          <w:trHeight w:val="172"/>
        </w:trPr>
        <w:tc>
          <w:tcPr>
            <w:tcW w:w="4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  <w:hideMark/>
          </w:tcPr>
          <w:p w:rsidR="00671993" w:rsidRDefault="00671993">
            <w:pPr>
              <w:spacing w:line="172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Техніка</w:t>
            </w: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 Методики лікування.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  <w:hideMark/>
          </w:tcPr>
          <w:p w:rsidR="00EA0EF8" w:rsidRPr="00EA0EF8" w:rsidRDefault="00671993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>
              <w:rPr>
                <w:rFonts w:ascii="Arial Narrow" w:eastAsia="Arial Narrow" w:hAnsi="Arial Narrow"/>
                <w:color w:val="00000A"/>
                <w:sz w:val="16"/>
                <w:lang w:eastAsia="en-US"/>
              </w:rPr>
              <w:t xml:space="preserve">Розгляд </w:t>
            </w:r>
            <w:r w:rsid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техніки</w:t>
            </w:r>
            <w:r w:rsidR="00EA0EF8"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відпускання процедур. </w:t>
            </w:r>
          </w:p>
          <w:p w:rsidR="00671993" w:rsidRPr="00EA0EF8" w:rsidRDefault="00EA0EF8" w:rsidP="00EA0EF8">
            <w:pPr>
              <w:spacing w:line="172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. Методики лікування.</w:t>
            </w:r>
            <w:r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 xml:space="preserve"> Рецептура призначень.</w:t>
            </w:r>
          </w:p>
        </w:tc>
      </w:tr>
      <w:tr w:rsidR="00671993" w:rsidRPr="00EA0EF8" w:rsidTr="002645F3">
        <w:trPr>
          <w:trHeight w:val="184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671993" w:rsidRPr="00EA0EF8" w:rsidRDefault="00671993">
            <w:pPr>
              <w:spacing w:line="0" w:lineRule="atLeast"/>
              <w:rPr>
                <w:rFonts w:ascii="Times New Roman" w:eastAsia="Times New Roman" w:hAnsi="Times New Roman"/>
                <w:sz w:val="16"/>
                <w:lang w:val="uk-UA" w:eastAsia="en-U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83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</w:p>
        </w:tc>
      </w:tr>
      <w:tr w:rsidR="00671993" w:rsidRPr="00EA0EF8" w:rsidTr="002645F3">
        <w:trPr>
          <w:trHeight w:val="175"/>
        </w:trPr>
        <w:tc>
          <w:tcPr>
            <w:tcW w:w="4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jc w:val="center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6.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Підведення підсумків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:rsidR="00671993" w:rsidRPr="00EA0EF8" w:rsidRDefault="00671993">
            <w:pPr>
              <w:spacing w:line="176" w:lineRule="exact"/>
              <w:ind w:left="20"/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</w:pPr>
            <w:r w:rsidRPr="00EA0EF8">
              <w:rPr>
                <w:rFonts w:ascii="Arial Narrow" w:eastAsia="Arial Narrow" w:hAnsi="Arial Narrow"/>
                <w:color w:val="00000A"/>
                <w:sz w:val="16"/>
                <w:lang w:val="uk-UA" w:eastAsia="en-US"/>
              </w:rPr>
              <w:t>Закріплення теоретичних знань</w:t>
            </w:r>
          </w:p>
        </w:tc>
      </w:tr>
    </w:tbl>
    <w:p w:rsidR="002645F3" w:rsidRPr="00EA0EF8" w:rsidRDefault="002645F3" w:rsidP="002645F3">
      <w:pPr>
        <w:rPr>
          <w:rFonts w:ascii="Arial Narrow" w:eastAsia="Arial Narrow" w:hAnsi="Arial Narrow"/>
          <w:color w:val="00000A"/>
          <w:sz w:val="16"/>
          <w:lang w:val="uk-UA"/>
        </w:rPr>
        <w:sectPr w:rsidR="002645F3" w:rsidRPr="00EA0EF8">
          <w:pgSz w:w="8400" w:h="11906"/>
          <w:pgMar w:top="1125" w:right="1133" w:bottom="161" w:left="840" w:header="0" w:footer="0" w:gutter="0"/>
          <w:cols w:space="720"/>
        </w:sectPr>
      </w:pPr>
    </w:p>
    <w:p w:rsidR="002645F3" w:rsidRPr="00EA0EF8" w:rsidRDefault="002645F3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2645F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</w:t>
      </w:r>
    </w:p>
    <w:p w:rsidR="002C60A3" w:rsidRDefault="002C60A3" w:rsidP="002645F3">
      <w:pPr>
        <w:spacing w:line="200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ЗМІСТ</w:t>
      </w:r>
    </w:p>
    <w:p w:rsidR="00B470C6" w:rsidRDefault="00B470C6" w:rsidP="002645F3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A153FA" w:rsidRDefault="00DA5D72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</w:t>
      </w:r>
      <w:r w:rsidR="00A153FA" w:rsidRPr="00A153FA">
        <w:rPr>
          <w:rFonts w:ascii="Times New Roman" w:eastAsia="Times New Roman" w:hAnsi="Times New Roman"/>
          <w:lang w:val="uk-UA"/>
        </w:rPr>
        <w:t>6</w:t>
      </w:r>
      <w:r w:rsidR="00A153FA" w:rsidRPr="00A153FA">
        <w:rPr>
          <w:rFonts w:ascii="Times New Roman" w:eastAsia="Times New Roman" w:hAnsi="Times New Roman"/>
          <w:b/>
          <w:lang w:val="uk-UA"/>
        </w:rPr>
        <w:t>. СВІТЛОЛІКУВАННЯ</w:t>
      </w:r>
      <w:r w:rsidR="00A153FA" w:rsidRPr="00A153FA">
        <w:rPr>
          <w:rFonts w:ascii="Times New Roman" w:eastAsia="Times New Roman" w:hAnsi="Times New Roman"/>
          <w:lang w:val="uk-UA"/>
        </w:rPr>
        <w:t xml:space="preserve"> Світлолікування - метод фізіотерапії, при якому з лікувальною і профілактичною метою застосовуються електромагнітні коливання оптичного діапазону як у видимому, так і в невидимому спектрі. </w:t>
      </w:r>
      <w:proofErr w:type="gramStart"/>
      <w:r w:rsidR="00A153FA" w:rsidRPr="00A153FA">
        <w:rPr>
          <w:rFonts w:ascii="Times New Roman" w:eastAsia="Times New Roman" w:hAnsi="Times New Roman"/>
        </w:rPr>
        <w:t>Св</w:t>
      </w:r>
      <w:proofErr w:type="gramEnd"/>
      <w:r w:rsidR="00A153FA" w:rsidRPr="00A153FA">
        <w:rPr>
          <w:rFonts w:ascii="Times New Roman" w:eastAsia="Times New Roman" w:hAnsi="Times New Roman"/>
        </w:rPr>
        <w:t xml:space="preserve">ітло має властивості як електромагнітної хвилі, так і потоку часток (квантів). Між довжиною хвилі й енергією кванта існує обернена залежність - чим коротше довжина хвилі, тим більше енергія кванта. </w:t>
      </w:r>
      <w:proofErr w:type="gramStart"/>
      <w:r w:rsidR="00A153FA" w:rsidRPr="00A153FA">
        <w:rPr>
          <w:rFonts w:ascii="Times New Roman" w:eastAsia="Times New Roman" w:hAnsi="Times New Roman"/>
        </w:rPr>
        <w:t>Св</w:t>
      </w:r>
      <w:proofErr w:type="gramEnd"/>
      <w:r w:rsidR="00A153FA" w:rsidRPr="00A153FA">
        <w:rPr>
          <w:rFonts w:ascii="Times New Roman" w:eastAsia="Times New Roman" w:hAnsi="Times New Roman"/>
        </w:rPr>
        <w:t xml:space="preserve">ітловий поток у межах від 400 мікрометрів (Мкм - 1 мільйонна частина метра) до 2 нанометрів (нм - 1 мільярдна частина метра) у сучасній фізиці прийнято називати оптичним. Оптичне випромінювання ділиться на інфрачервоне (400 мкм-760 нм), видиме (760 нм-400 нм) і ультрафіолетове (400 нм-2 нм). В основі біологічної дії </w:t>
      </w:r>
      <w:proofErr w:type="gramStart"/>
      <w:r w:rsidR="00A153FA" w:rsidRPr="00A153FA">
        <w:rPr>
          <w:rFonts w:ascii="Times New Roman" w:eastAsia="Times New Roman" w:hAnsi="Times New Roman"/>
        </w:rPr>
        <w:t>св</w:t>
      </w:r>
      <w:proofErr w:type="gramEnd"/>
      <w:r w:rsidR="00A153FA" w:rsidRPr="00A153FA">
        <w:rPr>
          <w:rFonts w:ascii="Times New Roman" w:eastAsia="Times New Roman" w:hAnsi="Times New Roman"/>
        </w:rPr>
        <w:t xml:space="preserve">ітла лежить поглинання енергії світлового потоку тканинами організму і перетворення її в інші види енергії, насамперед - у теплову і хімічну, які справляють на організм як загальну, так і місцеву дію. В дії інфрачервоних, видимих і ультрафіолетових променів є </w:t>
      </w:r>
      <w:proofErr w:type="gramStart"/>
      <w:r w:rsidR="00A153FA" w:rsidRPr="00A153FA">
        <w:rPr>
          <w:rFonts w:ascii="Times New Roman" w:eastAsia="Times New Roman" w:hAnsi="Times New Roman"/>
        </w:rPr>
        <w:t>р</w:t>
      </w:r>
      <w:proofErr w:type="gramEnd"/>
      <w:r w:rsidR="00A153FA" w:rsidRPr="00A153FA">
        <w:rPr>
          <w:rFonts w:ascii="Times New Roman" w:eastAsia="Times New Roman" w:hAnsi="Times New Roman"/>
        </w:rPr>
        <w:t xml:space="preserve">ізниця. 6.1 </w:t>
      </w:r>
      <w:r w:rsidR="00A153FA" w:rsidRPr="00A153FA">
        <w:rPr>
          <w:rFonts w:ascii="Times New Roman" w:eastAsia="Times New Roman" w:hAnsi="Times New Roman"/>
          <w:b/>
        </w:rPr>
        <w:t>Інфрачервоне випромінювання</w:t>
      </w:r>
      <w:r w:rsidR="00A153FA" w:rsidRPr="00A153FA">
        <w:rPr>
          <w:rFonts w:ascii="Times New Roman" w:eastAsia="Times New Roman" w:hAnsi="Times New Roman"/>
        </w:rPr>
        <w:t xml:space="preserve"> Інфрачервоні промені - це область електромагнітного випромінювання, розташованого від червоного кінця видимого спектра довжиною 760 нм убік більш довгих хвиль - до 400 Мкм. Кванти інфрачервоних променів мають порівняно невелику енергію. </w:t>
      </w:r>
      <w:proofErr w:type="gramStart"/>
      <w:r w:rsidR="00A153FA" w:rsidRPr="00A153FA">
        <w:rPr>
          <w:rFonts w:ascii="Times New Roman" w:eastAsia="Times New Roman" w:hAnsi="Times New Roman"/>
        </w:rPr>
        <w:t>Вони</w:t>
      </w:r>
      <w:proofErr w:type="gramEnd"/>
      <w:r w:rsidR="00A153FA" w:rsidRPr="00A153FA">
        <w:rPr>
          <w:rFonts w:ascii="Times New Roman" w:eastAsia="Times New Roman" w:hAnsi="Times New Roman"/>
        </w:rPr>
        <w:t xml:space="preserve"> прискорюють рух електронів по орбітах і викликають тільки </w:t>
      </w:r>
      <w:r w:rsidR="00A153FA" w:rsidRPr="00A153FA">
        <w:rPr>
          <w:rFonts w:ascii="Times New Roman" w:eastAsia="Times New Roman" w:hAnsi="Times New Roman"/>
        </w:rPr>
        <w:lastRenderedPageBreak/>
        <w:t xml:space="preserve">тепловий ефект: інфрачервоні промені називають тепловими. </w:t>
      </w:r>
      <w:proofErr w:type="gramStart"/>
      <w:r w:rsidR="00A153FA" w:rsidRPr="00A153FA">
        <w:rPr>
          <w:rFonts w:ascii="Times New Roman" w:eastAsia="Times New Roman" w:hAnsi="Times New Roman"/>
        </w:rPr>
        <w:t>Вони</w:t>
      </w:r>
      <w:proofErr w:type="gramEnd"/>
      <w:r w:rsidR="00A153FA" w:rsidRPr="00A153FA">
        <w:rPr>
          <w:rFonts w:ascii="Times New Roman" w:eastAsia="Times New Roman" w:hAnsi="Times New Roman"/>
        </w:rPr>
        <w:t xml:space="preserve"> проникають у тканини на 2-3 см. Апаратура. Лампа Солюкс, лампа Мініна, лампа інфрачервоних променів на штативі, місцева </w:t>
      </w:r>
      <w:proofErr w:type="gramStart"/>
      <w:r w:rsidR="00A153FA" w:rsidRPr="00A153FA">
        <w:rPr>
          <w:rFonts w:ascii="Times New Roman" w:eastAsia="Times New Roman" w:hAnsi="Times New Roman"/>
        </w:rPr>
        <w:t>св</w:t>
      </w:r>
      <w:proofErr w:type="gramEnd"/>
      <w:r w:rsidR="00A153FA" w:rsidRPr="00A153FA">
        <w:rPr>
          <w:rFonts w:ascii="Times New Roman" w:eastAsia="Times New Roman" w:hAnsi="Times New Roman"/>
        </w:rPr>
        <w:t xml:space="preserve">ітлотеплова ванна для тулуба на 12 ламп і для кінцівок на 8 ламп. 61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</w:t>
      </w:r>
      <w:r w:rsidRPr="00A153FA">
        <w:rPr>
          <w:rFonts w:ascii="Times New Roman" w:eastAsia="Times New Roman" w:hAnsi="Times New Roman"/>
        </w:rPr>
        <w:t xml:space="preserve">Методика проведення процедур. Розрізняють дві методики проведення процедур: </w:t>
      </w:r>
      <w:proofErr w:type="gramStart"/>
      <w:r w:rsidRPr="00A153FA">
        <w:rPr>
          <w:rFonts w:ascii="Times New Roman" w:eastAsia="Times New Roman" w:hAnsi="Times New Roman"/>
        </w:rPr>
        <w:t>м</w:t>
      </w:r>
      <w:proofErr w:type="gramEnd"/>
      <w:r w:rsidRPr="00A153FA">
        <w:rPr>
          <w:rFonts w:ascii="Times New Roman" w:eastAsia="Times New Roman" w:hAnsi="Times New Roman"/>
        </w:rPr>
        <w:t>ісцевий і загальний вплив. Для місцевих опромінень застосовують лампи солюкс, Мі</w:t>
      </w:r>
      <w:proofErr w:type="gramStart"/>
      <w:r w:rsidRPr="00A153FA">
        <w:rPr>
          <w:rFonts w:ascii="Times New Roman" w:eastAsia="Times New Roman" w:hAnsi="Times New Roman"/>
        </w:rPr>
        <w:t>н</w:t>
      </w:r>
      <w:proofErr w:type="gramEnd"/>
      <w:r w:rsidRPr="00A153FA">
        <w:rPr>
          <w:rFonts w:ascii="Times New Roman" w:eastAsia="Times New Roman" w:hAnsi="Times New Roman"/>
        </w:rPr>
        <w:t xml:space="preserve">іна, лампу інфрачервоних випромінювань. Відстань ділянки, яка опромінюється, від випромінювача складає від 15-20 см (для лампи Мініна) до 70-80 см - для інших ламп і залежить 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ід відчуттів пацієнта. Положення </w:t>
      </w:r>
      <w:proofErr w:type="gramStart"/>
      <w:r w:rsidRPr="00A153FA">
        <w:rPr>
          <w:rFonts w:ascii="Times New Roman" w:eastAsia="Times New Roman" w:hAnsi="Times New Roman"/>
        </w:rPr>
        <w:t>хворого</w:t>
      </w:r>
      <w:proofErr w:type="gramEnd"/>
      <w:r w:rsidRPr="00A153FA">
        <w:rPr>
          <w:rFonts w:ascii="Times New Roman" w:eastAsia="Times New Roman" w:hAnsi="Times New Roman"/>
        </w:rPr>
        <w:t xml:space="preserve"> пов'язане з ділянкою опромінення: він може лежати, сидіти і т.д. Опромінення проводять від 20 до 30 хв. щодня або через день. На курс </w:t>
      </w:r>
      <w:proofErr w:type="gramStart"/>
      <w:r w:rsidRPr="00A153FA">
        <w:rPr>
          <w:rFonts w:ascii="Times New Roman" w:eastAsia="Times New Roman" w:hAnsi="Times New Roman"/>
        </w:rPr>
        <w:t>л</w:t>
      </w:r>
      <w:proofErr w:type="gramEnd"/>
      <w:r w:rsidRPr="00A153FA">
        <w:rPr>
          <w:rFonts w:ascii="Times New Roman" w:eastAsia="Times New Roman" w:hAnsi="Times New Roman"/>
        </w:rPr>
        <w:t xml:space="preserve">ікування 20 процедур і більше. Загальний вплив проводять за допомогою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ітлотеплової ванни. Хворого вкладають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 каркас ванни, а зверху закривають байковою ковдрою, щоб навколишнє повітря не проникало під каркас. Тривалість процедури - 20-30хв., проводять щодня або через день, курс </w:t>
      </w:r>
      <w:proofErr w:type="gramStart"/>
      <w:r w:rsidRPr="00A153FA">
        <w:rPr>
          <w:rFonts w:ascii="Times New Roman" w:eastAsia="Times New Roman" w:hAnsi="Times New Roman"/>
        </w:rPr>
        <w:t>л</w:t>
      </w:r>
      <w:proofErr w:type="gramEnd"/>
      <w:r w:rsidRPr="00A153FA">
        <w:rPr>
          <w:rFonts w:ascii="Times New Roman" w:eastAsia="Times New Roman" w:hAnsi="Times New Roman"/>
        </w:rPr>
        <w:t xml:space="preserve">ікування - 15 процедур. </w:t>
      </w:r>
      <w:r>
        <w:rPr>
          <w:rFonts w:ascii="Times New Roman" w:eastAsia="Times New Roman" w:hAnsi="Times New Roman"/>
          <w:lang w:val="uk-UA"/>
        </w:rPr>
        <w:t xml:space="preserve">    </w:t>
      </w:r>
      <w:r w:rsidRPr="00A153FA">
        <w:rPr>
          <w:rFonts w:ascii="Times New Roman" w:eastAsia="Times New Roman" w:hAnsi="Times New Roman"/>
        </w:rPr>
        <w:t xml:space="preserve">Механізм дії. Тепловий вплив інфрачервоних випромінювань приводить до розширення судин шкіри і посилення кровотоку в них. З'являється активна гіперемія шкіри, еритема з нечіткими контурами, що поступово зникає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ісля припинення опромінення.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 впливом інфрачервоних променів посилюється потовиділення, підвищується тканинний обмін, прискорюються ферментативні реакції, процеси регенерації і репарації, знижується м'язовий тонус. Все це сприяє зменшенню больового синдрому і веде до розсмоктування </w:t>
      </w:r>
      <w:proofErr w:type="gramStart"/>
      <w:r w:rsidRPr="00A153FA">
        <w:rPr>
          <w:rFonts w:ascii="Times New Roman" w:eastAsia="Times New Roman" w:hAnsi="Times New Roman"/>
        </w:rPr>
        <w:t>запального</w:t>
      </w:r>
      <w:proofErr w:type="gramEnd"/>
      <w:r w:rsidRPr="00A153FA">
        <w:rPr>
          <w:rFonts w:ascii="Times New Roman" w:eastAsia="Times New Roman" w:hAnsi="Times New Roman"/>
        </w:rPr>
        <w:t xml:space="preserve"> процесу. Загальна реакція організму полягає в прискоренні дихання і серцевих скорочень, змінах з боку ЦНС.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</w:t>
      </w:r>
      <w:r w:rsidRPr="00446E80">
        <w:rPr>
          <w:rFonts w:ascii="Times New Roman" w:eastAsia="Times New Roman" w:hAnsi="Times New Roman"/>
          <w:lang w:val="uk-UA"/>
        </w:rPr>
        <w:t xml:space="preserve">Показання. Негнійні запальні процеси без виражених ексудативних проявів, травми кістково-суглобної системи і м'язового апарата, рани і виразки, що погано гояться, контрактури, спайки, лікування опіків і відморожень відкритим методом та ін.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lastRenderedPageBreak/>
        <w:t xml:space="preserve">         </w:t>
      </w:r>
      <w:r w:rsidRPr="00446E80">
        <w:rPr>
          <w:rFonts w:ascii="Times New Roman" w:eastAsia="Times New Roman" w:hAnsi="Times New Roman"/>
          <w:lang w:val="uk-UA"/>
        </w:rPr>
        <w:t xml:space="preserve">Протипоказання. Недостатність кровообігу ІІ-ІІІ ст., гострі гнійні запальні захворювання, новоутворення, туберкульоз, системні захворювання крові.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  <w:b/>
        </w:rPr>
        <w:t xml:space="preserve">62 6.2 Видиме </w:t>
      </w:r>
      <w:proofErr w:type="gramStart"/>
      <w:r w:rsidRPr="00A153FA">
        <w:rPr>
          <w:rFonts w:ascii="Times New Roman" w:eastAsia="Times New Roman" w:hAnsi="Times New Roman"/>
          <w:b/>
        </w:rPr>
        <w:t>св</w:t>
      </w:r>
      <w:proofErr w:type="gramEnd"/>
      <w:r w:rsidRPr="00A153FA">
        <w:rPr>
          <w:rFonts w:ascii="Times New Roman" w:eastAsia="Times New Roman" w:hAnsi="Times New Roman"/>
          <w:b/>
        </w:rPr>
        <w:t>ітло</w:t>
      </w:r>
      <w:r w:rsidRPr="00A153FA">
        <w:rPr>
          <w:rFonts w:ascii="Times New Roman" w:eastAsia="Times New Roman" w:hAnsi="Times New Roman"/>
        </w:rPr>
        <w:t xml:space="preserve"> Видимим називається випромінювання, що викликає специфічне подразнення органа зору. Довжина хвилі від 760 до 400 нм. Крім теплової дії, видимі промені здатні вибивати електрони в атомі зі своєї орбі</w:t>
      </w:r>
      <w:proofErr w:type="gramStart"/>
      <w:r w:rsidRPr="00A153FA">
        <w:rPr>
          <w:rFonts w:ascii="Times New Roman" w:eastAsia="Times New Roman" w:hAnsi="Times New Roman"/>
        </w:rPr>
        <w:t>ти на</w:t>
      </w:r>
      <w:proofErr w:type="gramEnd"/>
      <w:r w:rsidRPr="00A153FA">
        <w:rPr>
          <w:rFonts w:ascii="Times New Roman" w:eastAsia="Times New Roman" w:hAnsi="Times New Roman"/>
        </w:rPr>
        <w:t xml:space="preserve"> сусідню, більш близьку до ядра, а тим самим приводити атом у збуджений стан. При проходженні видимого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ітла через тригранну призму промені різноманітної довжини хвилі, які входять у його склад, переломлюються неоднаково, в результаті чого видиме світло розкладається на 7 кольорів: червоний, оранжевий, жовтий, зелений, блакитний, синій, фіолетовий. Видиме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 проникає в тканини на глибину до 1 см, але основна його дія усе ж через зоровий аналізатор - сітківку ока. Сприйняття видимого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>ітла і складових його світлових компонентів діє на ЦНС, яка через гіпофіз та інші ендокринні залози впливає на психічний стан людини. Від того, які кольори переважають, залежить настрій і самопочуття людини. Червоний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- дратує зір, викликає у людей з нестійкою нервовою системою агресивність, але в той же час він підвищує активність і імунітет людини, АТ, кислотність шлункового соку, прискорює обмін речовин. Оранжевий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- не викликає агресивності, хоча також підвищує імунні сили організму і біоенергетику. Він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ідвищує загальний життєвий тонус і створює гарний настрій. Оранжевий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підвищує апетит, регулює обмін речовин, знижує наслідки стресів. Жовтий колір (теплий колір). Особливо корисно носити одяг цього кольору дітям або ж людям, схильним до депресії. Цей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надає впевненості у собі, викликає у людей життєрадісність, доброзичливе ставлення до навколишніх. Він дуже корисний при захворюваннях шлунково-кишкового тракту. Зелений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- майже нейтральний.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зелені заспокоює нервову систему, покращує зір, сприяє лікуванню безсоння, загоєнню ран, пригасанню запальних процесів </w:t>
      </w:r>
      <w:r w:rsidRPr="00A153FA">
        <w:rPr>
          <w:rFonts w:ascii="Times New Roman" w:eastAsia="Times New Roman" w:hAnsi="Times New Roman"/>
        </w:rPr>
        <w:lastRenderedPageBreak/>
        <w:t>і гарному відпочинку після напруженої роботи. 63 Блакитний колір викликає мрійливий настрій, допомагає заспокоїтися і розслабитися, діє заспокійливо на запальних і дратівливих людей. Цей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знижує тиск, корисний при хворобах печінки і жовчного міхура. Синій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діє заспокійливо на нервову систему. Він корисний при хворобах серця: аритмії, тахікардії і серцевій недостатності, а також при безсонні. Фіолетовий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- діє на людей зі слабкою нервовою системою гнітюче. Ще В.М. Бехтєрєв 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>ідзначав вплив різноманітних кольорів на психічну діяльність людини. Він рекомендував поміщати хворих із психічним порушенням у палати, пофарбовані в блакитний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або з вікнами з блакитного скла. Хворих же з пригніченням психіки він радив поміщати в палати з рожевим кольором </w:t>
      </w:r>
      <w:proofErr w:type="gramStart"/>
      <w:r w:rsidRPr="00A153FA">
        <w:rPr>
          <w:rFonts w:ascii="Times New Roman" w:eastAsia="Times New Roman" w:hAnsi="Times New Roman"/>
        </w:rPr>
        <w:t>ст</w:t>
      </w:r>
      <w:proofErr w:type="gramEnd"/>
      <w:r w:rsidRPr="00A153FA">
        <w:rPr>
          <w:rFonts w:ascii="Times New Roman" w:eastAsia="Times New Roman" w:hAnsi="Times New Roman"/>
        </w:rPr>
        <w:t>ін. В даний час твердо встановлено, що кольоровий "клімат" повинний враховуватися у виробничих умовах, навчальних закладах, лікувальних та інших установах.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стін робочих приміщень, цехів, навчальних кімнат повинен позитивно впливати на працездатність людини. Найбільш вигідним з погляду збереження працездатності є фарбування </w:t>
      </w:r>
      <w:proofErr w:type="gramStart"/>
      <w:r w:rsidRPr="00A153FA">
        <w:rPr>
          <w:rFonts w:ascii="Times New Roman" w:eastAsia="Times New Roman" w:hAnsi="Times New Roman"/>
        </w:rPr>
        <w:t>ст</w:t>
      </w:r>
      <w:proofErr w:type="gramEnd"/>
      <w:r w:rsidRPr="00A153FA">
        <w:rPr>
          <w:rFonts w:ascii="Times New Roman" w:eastAsia="Times New Roman" w:hAnsi="Times New Roman"/>
        </w:rPr>
        <w:t xml:space="preserve">ін, парт, столів, верстатів та іншого устаткування в ясно-жовті, жовтогарячі, персикові, кремові кольори. Показання: </w:t>
      </w:r>
      <w:proofErr w:type="gramStart"/>
      <w:r w:rsidRPr="00A153FA">
        <w:rPr>
          <w:rFonts w:ascii="Times New Roman" w:eastAsia="Times New Roman" w:hAnsi="Times New Roman"/>
        </w:rPr>
        <w:t>такі ж</w:t>
      </w:r>
      <w:proofErr w:type="gramEnd"/>
      <w:r w:rsidRPr="00A153FA">
        <w:rPr>
          <w:rFonts w:ascii="Times New Roman" w:eastAsia="Times New Roman" w:hAnsi="Times New Roman"/>
        </w:rPr>
        <w:t xml:space="preserve"> як і для інфрачервоних променів, при цьому необхідно враховувати психічний статус людини.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  <w:r w:rsidRPr="00A153FA">
        <w:rPr>
          <w:rFonts w:ascii="Times New Roman" w:eastAsia="Times New Roman" w:hAnsi="Times New Roman"/>
          <w:b/>
          <w:lang w:val="uk-UA"/>
        </w:rPr>
        <w:t>6.3 Ультрафіолетове випромінювання</w:t>
      </w:r>
      <w:r w:rsidRPr="00A153FA">
        <w:rPr>
          <w:rFonts w:ascii="Times New Roman" w:eastAsia="Times New Roman" w:hAnsi="Times New Roman"/>
          <w:lang w:val="uk-UA"/>
        </w:rPr>
        <w:t xml:space="preserve"> Ультрафіолетові промені (УФП) відносяться до електромагнітного випромінювання, розташованого за фіолетовим відрізком видимого спектра у бік коротших хвиль. </w:t>
      </w:r>
      <w:r w:rsidRPr="00A153FA">
        <w:rPr>
          <w:rFonts w:ascii="Times New Roman" w:eastAsia="Times New Roman" w:hAnsi="Times New Roman"/>
        </w:rPr>
        <w:t xml:space="preserve">Довжина ультрафіолетових хвиль від 400 до 2 нм, але кванти їх мають найбільшу енергію. УФП у порівнянні з іншими ділянками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>ітлового спектра мають найменшу глибину проникнення в тканини - усього до 1 мм, але за своєю хімічною активністю перевершують їх. При поглинанні тілом пацієнта УФП прискорюється рух електронів по орбітах, що викликає утворення тепла, вони приводять атоми в збуджений стан, підвищують 64 хі</w:t>
      </w:r>
      <w:proofErr w:type="gramStart"/>
      <w:r w:rsidRPr="00A153FA">
        <w:rPr>
          <w:rFonts w:ascii="Times New Roman" w:eastAsia="Times New Roman" w:hAnsi="Times New Roman"/>
        </w:rPr>
        <w:t>м</w:t>
      </w:r>
      <w:proofErr w:type="gramEnd"/>
      <w:r w:rsidRPr="00A153FA">
        <w:rPr>
          <w:rFonts w:ascii="Times New Roman" w:eastAsia="Times New Roman" w:hAnsi="Times New Roman"/>
        </w:rPr>
        <w:t xml:space="preserve">ічну активність, посилюють окислювально-відбудовні процеси, дають початок </w:t>
      </w:r>
      <w:r w:rsidRPr="00A153FA">
        <w:rPr>
          <w:rFonts w:ascii="Times New Roman" w:eastAsia="Times New Roman" w:hAnsi="Times New Roman"/>
        </w:rPr>
        <w:lastRenderedPageBreak/>
        <w:t xml:space="preserve">новим фотохімічним реакціям. У фізіотерапії використовують не весь діапазон коливань, що відповідає УФП, а тільки частину </w:t>
      </w:r>
      <w:proofErr w:type="gramStart"/>
      <w:r w:rsidRPr="00A153FA">
        <w:rPr>
          <w:rFonts w:ascii="Times New Roman" w:eastAsia="Times New Roman" w:hAnsi="Times New Roman"/>
        </w:rPr>
        <w:t>його в</w:t>
      </w:r>
      <w:proofErr w:type="gramEnd"/>
      <w:r w:rsidRPr="00A153FA">
        <w:rPr>
          <w:rFonts w:ascii="Times New Roman" w:eastAsia="Times New Roman" w:hAnsi="Times New Roman"/>
        </w:rPr>
        <w:t xml:space="preserve"> межах від 400 до 180 нм. В залежності від біологічної дії весь спектр ультрафіолетових променів умовно розділяють на 3 ділянки: відрізок А - охоплює довгохвильові коливання від 400 до 320 нм; відрізок</w:t>
      </w:r>
      <w:proofErr w:type="gramStart"/>
      <w:r w:rsidRPr="00A153FA">
        <w:rPr>
          <w:rFonts w:ascii="Times New Roman" w:eastAsia="Times New Roman" w:hAnsi="Times New Roman"/>
        </w:rPr>
        <w:t xml:space="preserve"> В</w:t>
      </w:r>
      <w:proofErr w:type="gramEnd"/>
      <w:r w:rsidRPr="00A153FA">
        <w:rPr>
          <w:rFonts w:ascii="Times New Roman" w:eastAsia="Times New Roman" w:hAnsi="Times New Roman"/>
        </w:rPr>
        <w:t xml:space="preserve"> - середньохвильові УФП із довжиною хвилі від 320 до 280 нм; відрізок</w:t>
      </w:r>
      <w:proofErr w:type="gramStart"/>
      <w:r w:rsidRPr="00A153FA">
        <w:rPr>
          <w:rFonts w:ascii="Times New Roman" w:eastAsia="Times New Roman" w:hAnsi="Times New Roman"/>
        </w:rPr>
        <w:t xml:space="preserve"> С</w:t>
      </w:r>
      <w:proofErr w:type="gramEnd"/>
      <w:r w:rsidRPr="00A153FA">
        <w:rPr>
          <w:rFonts w:ascii="Times New Roman" w:eastAsia="Times New Roman" w:hAnsi="Times New Roman"/>
        </w:rPr>
        <w:t xml:space="preserve"> - короткохвильові промені з довжиною хвилі від 280 до 180 нм. Апаратура. Штучні джерела ультрафіолетового опромінення діляться на інтегральні - із випромінюванням усього УФ-спектра, і селективні - із випромінюванням короткохвильових або довгохвильових променів. Мал. 15 Випромінювач ультрафіолетовий для групових локальних опромінень</w:t>
      </w:r>
      <w:proofErr w:type="gramStart"/>
      <w:r w:rsidRPr="00A153FA">
        <w:rPr>
          <w:rFonts w:ascii="Times New Roman" w:eastAsia="Times New Roman" w:hAnsi="Times New Roman"/>
        </w:rPr>
        <w:t xml:space="preserve"> Д</w:t>
      </w:r>
      <w:proofErr w:type="gramEnd"/>
      <w:r w:rsidRPr="00A153FA">
        <w:rPr>
          <w:rFonts w:ascii="Times New Roman" w:eastAsia="Times New Roman" w:hAnsi="Times New Roman"/>
        </w:rPr>
        <w:t xml:space="preserve">о селективних джерел ультрафіолетових випромінювань відносяться бактерицидні випромінювачі типу БУВ-15, БУВ-30П і пересувний бактерицидний випромінювач. </w:t>
      </w:r>
      <w:proofErr w:type="gramStart"/>
      <w:r w:rsidRPr="00A153FA">
        <w:rPr>
          <w:rFonts w:ascii="Times New Roman" w:eastAsia="Times New Roman" w:hAnsi="Times New Roman"/>
        </w:rPr>
        <w:t>Ц</w:t>
      </w:r>
      <w:proofErr w:type="gramEnd"/>
      <w:r w:rsidRPr="00A153FA">
        <w:rPr>
          <w:rFonts w:ascii="Times New Roman" w:eastAsia="Times New Roman" w:hAnsi="Times New Roman"/>
        </w:rPr>
        <w:t xml:space="preserve">і випромінювачі дають короткохвильові ультрафіолетові випромінювання, що мають виражену бактерицидну дію. Для опромінення слизової рота, зева, носа,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іхви використовуються лампи для короткохвильового ультрафіолетового опромінення ЛКУФ-3, ОКУФ-5 (мал.15,16). До інтегральних джерел ультрафіолетових випромінювань відносяться горілки типу ПРК (пряма ртутно-кварцева), стаціонарний "ОРК-21"(мал. 17) для індивідуального місцевого і загального опромінення, портативний випромінюва</w:t>
      </w:r>
      <w:proofErr w:type="gramStart"/>
      <w:r w:rsidRPr="00A153FA">
        <w:rPr>
          <w:rFonts w:ascii="Times New Roman" w:eastAsia="Times New Roman" w:hAnsi="Times New Roman"/>
        </w:rPr>
        <w:t>ч"</w:t>
      </w:r>
      <w:proofErr w:type="gramEnd"/>
      <w:r w:rsidRPr="00A153FA">
        <w:rPr>
          <w:rFonts w:ascii="Times New Roman" w:eastAsia="Times New Roman" w:hAnsi="Times New Roman"/>
        </w:rPr>
        <w:t xml:space="preserve">ОПУ" для місцевих опромінень. Для групових загальних опромінень 65 призначені опромінювачі маякового типу: випромінювач ртутно-кварцевий маяковий </w:t>
      </w:r>
      <w:proofErr w:type="gramStart"/>
      <w:r w:rsidRPr="00A153FA">
        <w:rPr>
          <w:rFonts w:ascii="Times New Roman" w:eastAsia="Times New Roman" w:hAnsi="Times New Roman"/>
        </w:rPr>
        <w:t>великий</w:t>
      </w:r>
      <w:proofErr w:type="gramEnd"/>
      <w:r w:rsidRPr="00A153FA">
        <w:rPr>
          <w:rFonts w:ascii="Times New Roman" w:eastAsia="Times New Roman" w:hAnsi="Times New Roman"/>
        </w:rPr>
        <w:t xml:space="preserve"> - ОКБ-30 і малий ОКМ-9 (для опромінення дітей). Для локального впливу на слизову оболонку використовується випромінювач носоглотки "ОН-7". Мал.16. Випромінювач короткохвильовий ультрафіолетовий "ОКУФ-5" </w:t>
      </w:r>
      <w:r>
        <w:rPr>
          <w:rFonts w:ascii="Times New Roman" w:eastAsia="Times New Roman" w:hAnsi="Times New Roman"/>
          <w:lang w:val="uk-UA"/>
        </w:rPr>
        <w:t xml:space="preserve">  </w:t>
      </w:r>
      <w:r w:rsidRPr="00A153FA">
        <w:rPr>
          <w:rFonts w:ascii="Times New Roman" w:eastAsia="Times New Roman" w:hAnsi="Times New Roman"/>
        </w:rPr>
        <w:t xml:space="preserve">Методика проведення процедур. При проведенні ультрафіолетових опромінень необхідний індивідуальний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ідхід до хворого, слід визначити чутливість його до дії променів. Для цього проводять дозиметрію (визначення біологічної дози). Одна біодоза - це час ультрафіолетового </w:t>
      </w:r>
      <w:r w:rsidRPr="00A153FA">
        <w:rPr>
          <w:rFonts w:ascii="Times New Roman" w:eastAsia="Times New Roman" w:hAnsi="Times New Roman"/>
        </w:rPr>
        <w:lastRenderedPageBreak/>
        <w:t xml:space="preserve">випромінювання, що викликає мінімальну видиму появу еритеми при певній відстані від джерела випромінювання. Для визначення біодози використовують біодозиметр БД-2, запропонований И.Ф.Горбачовим. Він складається з металевої платівки, </w:t>
      </w:r>
      <w:proofErr w:type="gramStart"/>
      <w:r w:rsidRPr="00A153FA">
        <w:rPr>
          <w:rFonts w:ascii="Times New Roman" w:eastAsia="Times New Roman" w:hAnsi="Times New Roman"/>
        </w:rPr>
        <w:t>у</w:t>
      </w:r>
      <w:proofErr w:type="gramEnd"/>
      <w:r w:rsidRPr="00A153FA">
        <w:rPr>
          <w:rFonts w:ascii="Times New Roman" w:eastAsia="Times New Roman" w:hAnsi="Times New Roman"/>
        </w:rPr>
        <w:t xml:space="preserve"> якій є 6 прямокутних отворів. Отвори закриваються рухливою заслінкою. Таку платівку вшивають у клейонку і фіксують на тілі пацієнта (живіт, внутрішня поверхня передпліччя). </w:t>
      </w:r>
      <w:proofErr w:type="gramStart"/>
      <w:r w:rsidRPr="00A153FA">
        <w:rPr>
          <w:rFonts w:ascii="Times New Roman" w:eastAsia="Times New Roman" w:hAnsi="Times New Roman"/>
        </w:rPr>
        <w:t>Опромінювач встановлюють перпендикулярно до поверхні опромінення над біодозиметром, звичайно на відстані 50 см, і приступають до опромінення.</w:t>
      </w:r>
      <w:proofErr w:type="gramEnd"/>
      <w:r w:rsidRPr="00A153FA">
        <w:rPr>
          <w:rFonts w:ascii="Times New Roman" w:eastAsia="Times New Roman" w:hAnsi="Times New Roman"/>
        </w:rPr>
        <w:t xml:space="preserve"> Відкривають перший </w:t>
      </w:r>
      <w:proofErr w:type="gramStart"/>
      <w:r w:rsidRPr="00A153FA">
        <w:rPr>
          <w:rFonts w:ascii="Times New Roman" w:eastAsia="Times New Roman" w:hAnsi="Times New Roman"/>
        </w:rPr>
        <w:t>отв</w:t>
      </w:r>
      <w:proofErr w:type="gramEnd"/>
      <w:r w:rsidRPr="00A153FA">
        <w:rPr>
          <w:rFonts w:ascii="Times New Roman" w:eastAsia="Times New Roman" w:hAnsi="Times New Roman"/>
        </w:rPr>
        <w:t xml:space="preserve">ір дозиметра й опромінюють 1 хвилину, після чого відкривають 2-ий отвір і знову опромінюють 1 хв. Щохвилини відкривають новий </w:t>
      </w:r>
      <w:proofErr w:type="gramStart"/>
      <w:r w:rsidRPr="00A153FA">
        <w:rPr>
          <w:rFonts w:ascii="Times New Roman" w:eastAsia="Times New Roman" w:hAnsi="Times New Roman"/>
        </w:rPr>
        <w:t>отв</w:t>
      </w:r>
      <w:proofErr w:type="gramEnd"/>
      <w:r w:rsidRPr="00A153FA">
        <w:rPr>
          <w:rFonts w:ascii="Times New Roman" w:eastAsia="Times New Roman" w:hAnsi="Times New Roman"/>
        </w:rPr>
        <w:t xml:space="preserve">ір. Так одержують шість невеличких ділянок шкіри, опромінених протягом 1-6 хв. Результат визначається через 20-24 години. Визначення результату опромінення зводиться до встановлення залежності </w:t>
      </w:r>
      <w:proofErr w:type="gramStart"/>
      <w:r w:rsidRPr="00A153FA">
        <w:rPr>
          <w:rFonts w:ascii="Times New Roman" w:eastAsia="Times New Roman" w:hAnsi="Times New Roman"/>
        </w:rPr>
        <w:t>між</w:t>
      </w:r>
      <w:proofErr w:type="gramEnd"/>
      <w:r w:rsidRPr="00A153FA">
        <w:rPr>
          <w:rFonts w:ascii="Times New Roman" w:eastAsia="Times New Roman" w:hAnsi="Times New Roman"/>
        </w:rPr>
        <w:t xml:space="preserve"> тривалістю опромінення і мінімальною 66 інтенсивністю еритеми. Якщо, наприклад, є 5 еритемних смужок зростаючої яскравості, то біодоза для даного пацієнта складає 2 хв. при даному джерелі опромінення і відстані 50 см. Якщо пацієнт відзначає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ідвищену чутливість до ультрафіолетових променів, то опромінення кожного наступного отвору проводять по 30 сек. Якщо з'явилося 4 еритемних смужки, то біодоза відповідає 1,5 хвилинам. Розрізняють загальне і місцеве опромінення ультрафіолетовими променями. Загальне опромінення буває груповим і індивідуальним. Групові застосовуються для </w:t>
      </w:r>
      <w:proofErr w:type="gramStart"/>
      <w:r w:rsidRPr="00A153FA">
        <w:rPr>
          <w:rFonts w:ascii="Times New Roman" w:eastAsia="Times New Roman" w:hAnsi="Times New Roman"/>
        </w:rPr>
        <w:t>проф</w:t>
      </w:r>
      <w:proofErr w:type="gramEnd"/>
      <w:r w:rsidRPr="00A153FA">
        <w:rPr>
          <w:rFonts w:ascii="Times New Roman" w:eastAsia="Times New Roman" w:hAnsi="Times New Roman"/>
        </w:rPr>
        <w:t xml:space="preserve">ілактики, індивідуальне - для лікування. Очі пацієнта захищають </w:t>
      </w:r>
      <w:proofErr w:type="gramStart"/>
      <w:r w:rsidRPr="00A153FA">
        <w:rPr>
          <w:rFonts w:ascii="Times New Roman" w:eastAsia="Times New Roman" w:hAnsi="Times New Roman"/>
        </w:rPr>
        <w:t>спец</w:t>
      </w:r>
      <w:proofErr w:type="gramEnd"/>
      <w:r w:rsidRPr="00A153FA">
        <w:rPr>
          <w:rFonts w:ascii="Times New Roman" w:eastAsia="Times New Roman" w:hAnsi="Times New Roman"/>
        </w:rPr>
        <w:t xml:space="preserve">іальними окулярами. При індивідуальному опроміненні </w:t>
      </w:r>
      <w:proofErr w:type="gramStart"/>
      <w:r w:rsidRPr="00A153FA">
        <w:rPr>
          <w:rFonts w:ascii="Times New Roman" w:eastAsia="Times New Roman" w:hAnsi="Times New Roman"/>
        </w:rPr>
        <w:t>посл</w:t>
      </w:r>
      <w:proofErr w:type="gramEnd"/>
      <w:r w:rsidRPr="00A153FA">
        <w:rPr>
          <w:rFonts w:ascii="Times New Roman" w:eastAsia="Times New Roman" w:hAnsi="Times New Roman"/>
        </w:rPr>
        <w:t xml:space="preserve">ідовно впливають на передню і задню поверхні оголеного тіла поступово зростаючими дозами. Призначають курс опромінення з 1/4-1/2 індивідуально визначеної біодози. Через кожні 2-3 процедури дозу збільшують вдвічі і доводять до кінця курсу лікування до 2-3 біодоз. Існують 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ізноманітні схеми загального опромінення: основна, уповільнена і прискорена (таблиця №2). Уповільнену схему застосовують ослабленим </w:t>
      </w:r>
      <w:r w:rsidRPr="00A153FA">
        <w:rPr>
          <w:rFonts w:ascii="Times New Roman" w:eastAsia="Times New Roman" w:hAnsi="Times New Roman"/>
        </w:rPr>
        <w:lastRenderedPageBreak/>
        <w:t xml:space="preserve">хворим зі зниженим харчуванням і ослабленою реактивністю. Основну схему опромінення призначають хворим з </w:t>
      </w:r>
      <w:proofErr w:type="gramStart"/>
      <w:r w:rsidRPr="00A153FA">
        <w:rPr>
          <w:rFonts w:ascii="Times New Roman" w:eastAsia="Times New Roman" w:hAnsi="Times New Roman"/>
        </w:rPr>
        <w:t>гарною</w:t>
      </w:r>
      <w:proofErr w:type="gramEnd"/>
      <w:r w:rsidRPr="00A153FA">
        <w:rPr>
          <w:rFonts w:ascii="Times New Roman" w:eastAsia="Times New Roman" w:hAnsi="Times New Roman"/>
        </w:rPr>
        <w:t xml:space="preserve"> реактивністю організму. Прискорену схему застосовують практично здоровим людям або молодим особам з </w:t>
      </w:r>
      <w:proofErr w:type="gramStart"/>
      <w:r w:rsidRPr="00A153FA">
        <w:rPr>
          <w:rFonts w:ascii="Times New Roman" w:eastAsia="Times New Roman" w:hAnsi="Times New Roman"/>
        </w:rPr>
        <w:t>гарною</w:t>
      </w:r>
      <w:proofErr w:type="gramEnd"/>
      <w:r w:rsidRPr="00A153FA">
        <w:rPr>
          <w:rFonts w:ascii="Times New Roman" w:eastAsia="Times New Roman" w:hAnsi="Times New Roman"/>
        </w:rPr>
        <w:t xml:space="preserve"> реактивністю при переломах кісток. У педіатрії опромінення починають із 1/10-1/4 біодози, поступово збільшуючи її до 1,5 біодози, залишаючись на цьому 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>івні до кінця курсу лікування. Загальне опромінення проводять через день. Повторний курс загального ультрафіолетового опромінення може проводитися не раніше, як через 3 місяці. 67 Мал.17. Випромінювач ртутнокварцевий на штативі "ОРК-21" Таблиця №2. Схеми загальних ультрафіолетових опромінень. № процедур и Схеми Основна Уповільнена Прискорена</w:t>
      </w:r>
      <w:proofErr w:type="gramStart"/>
      <w:r w:rsidRPr="00A153FA">
        <w:rPr>
          <w:rFonts w:ascii="Times New Roman" w:eastAsia="Times New Roman" w:hAnsi="Times New Roman"/>
        </w:rPr>
        <w:t xml:space="preserve"> Б</w:t>
      </w:r>
      <w:proofErr w:type="gramEnd"/>
      <w:r w:rsidRPr="00A153FA">
        <w:rPr>
          <w:rFonts w:ascii="Times New Roman" w:eastAsia="Times New Roman" w:hAnsi="Times New Roman"/>
        </w:rPr>
        <w:t>іодоза Відстань від лампи до шкіри Біодоза Відстань від лампи до шкіри Біодоза Відстань від лампи до шкіри 1-а ¼ 100 1/8 100 ½ 100 2-а ¼ 100 2/8 100 ½ 100 3-а 2/4 100 3/</w:t>
      </w:r>
      <w:proofErr w:type="gramStart"/>
      <w:r w:rsidRPr="00A153FA">
        <w:rPr>
          <w:rFonts w:ascii="Times New Roman" w:eastAsia="Times New Roman" w:hAnsi="Times New Roman"/>
        </w:rPr>
        <w:t>8 100 1 100 4-а 2/4 100 4/8 100 1 100 5-а ¾ 100 5/8 100 1 ½ 100 6-а ¾ 100 6/8 100 1 ½ 100 7-а 1 100 7/8 100 2 100 8-а 1 100 1 100 2 100 9-а 1 ¼ 100 1 1/8 100 2 ½ 100 10-а 1 ¼ 100 1 2/8 100 2 ½ 100</w:t>
      </w:r>
      <w:proofErr w:type="gramEnd"/>
      <w:r w:rsidRPr="00A153FA">
        <w:rPr>
          <w:rFonts w:ascii="Times New Roman" w:eastAsia="Times New Roman" w:hAnsi="Times New Roman"/>
        </w:rPr>
        <w:t xml:space="preserve"> </w:t>
      </w:r>
      <w:proofErr w:type="gramStart"/>
      <w:r w:rsidRPr="00A153FA">
        <w:rPr>
          <w:rFonts w:ascii="Times New Roman" w:eastAsia="Times New Roman" w:hAnsi="Times New Roman"/>
        </w:rPr>
        <w:t>68 11-а 1 ½ 100 1 3/8 100 3 75 12-а 2 100 1 4/8 100 3 75 13-а 2 100 1 5/8 100 3 ½ 75 14-а 2 ¼ 100 1 6/8 100 3 ½ 75 15-а 2 2/4 100 1 7/8 100 4 75 16-а 3 75 2 100 4 75 17-а 3 75 2 1</w:t>
      </w:r>
      <w:proofErr w:type="gramEnd"/>
      <w:r w:rsidRPr="00A153FA">
        <w:rPr>
          <w:rFonts w:ascii="Times New Roman" w:eastAsia="Times New Roman" w:hAnsi="Times New Roman"/>
        </w:rPr>
        <w:t>/</w:t>
      </w:r>
      <w:proofErr w:type="gramStart"/>
      <w:r w:rsidRPr="00A153FA">
        <w:rPr>
          <w:rFonts w:ascii="Times New Roman" w:eastAsia="Times New Roman" w:hAnsi="Times New Roman"/>
        </w:rPr>
        <w:t>8 100 18-а 3 75 2 2/8 100 19-а 3 75 2 3/8 100 20-а 3 75 2 4/8 100 Всього 20-24 процедури Наступні процедури в тих же дозах, на курс призначають 28 процедур Всього 16-17 процедур Місцеве опромінення - вплив на порівняно невелику площу шкірної поверхні. Опромінення проводиться звичайно з відстан</w:t>
      </w:r>
      <w:proofErr w:type="gramEnd"/>
      <w:r w:rsidRPr="00A153FA">
        <w:rPr>
          <w:rFonts w:ascii="Times New Roman" w:eastAsia="Times New Roman" w:hAnsi="Times New Roman"/>
        </w:rPr>
        <w:t xml:space="preserve">і 50 см. Застосовують еритемні дози ультрафіолетового опромінення. Розрізняють малі еритемні дози (1-2 біодози), еритемні дози середньої інтенсивності (3-4 біодози), великі еритемні дози (5-6 біодоз) і гіпереритемні (більше 8 біодоз). В один день еритемними дозами можна опромінювати ділянку не більше 600 см2 . Повторне опромінення цієї ділянки можна проводити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ісля зменшення еритеми, через 2-3 дня і пізніше, і не більше 3-4 разів. Для порожнинних опромінень (носа, мигдалин, вуха, піхви) застосовуються спеціальні тубуси. Тривалість </w:t>
      </w:r>
      <w:r w:rsidRPr="00A153FA">
        <w:rPr>
          <w:rFonts w:ascii="Times New Roman" w:eastAsia="Times New Roman" w:hAnsi="Times New Roman"/>
        </w:rPr>
        <w:lastRenderedPageBreak/>
        <w:t>опромінення від 1 до 3 хвилин щодня або через день. Курс лікування 5-10 сеансі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</w:t>
      </w:r>
      <w:r w:rsidRPr="00446E80">
        <w:rPr>
          <w:rFonts w:ascii="Times New Roman" w:eastAsia="Times New Roman" w:hAnsi="Times New Roman"/>
          <w:lang w:val="uk-UA"/>
        </w:rPr>
        <w:t xml:space="preserve">Механізм дії. При дії ультрафіолетового випромінювання на організм людини за рахунок фотоелектричного ефекту в шкірі відбуваються складні фотохімічні і фотобіологічні процеси. </w:t>
      </w:r>
      <w:proofErr w:type="gramStart"/>
      <w:r w:rsidRPr="00A153FA">
        <w:rPr>
          <w:rFonts w:ascii="Times New Roman" w:eastAsia="Times New Roman" w:hAnsi="Times New Roman"/>
        </w:rPr>
        <w:t>Вони</w:t>
      </w:r>
      <w:proofErr w:type="gramEnd"/>
      <w:r w:rsidRPr="00A153FA">
        <w:rPr>
          <w:rFonts w:ascii="Times New Roman" w:eastAsia="Times New Roman" w:hAnsi="Times New Roman"/>
        </w:rPr>
        <w:t xml:space="preserve"> проявляються розпадом білка (фотоліз), утворенням більш складних 69 речовин (фотосинтез) або речовин із новими фізико-хімічними властивостями (фотоізомеризація). У </w:t>
      </w:r>
      <w:proofErr w:type="gramStart"/>
      <w:r w:rsidRPr="00A153FA">
        <w:rPr>
          <w:rFonts w:ascii="Times New Roman" w:eastAsia="Times New Roman" w:hAnsi="Times New Roman"/>
        </w:rPr>
        <w:t>м</w:t>
      </w:r>
      <w:proofErr w:type="gramEnd"/>
      <w:r w:rsidRPr="00A153FA">
        <w:rPr>
          <w:rFonts w:ascii="Times New Roman" w:eastAsia="Times New Roman" w:hAnsi="Times New Roman"/>
        </w:rPr>
        <w:t xml:space="preserve">ісці поглинання утворюються вільні радикали, посилюється ферментативна активність, звільняються або знову утворюються біологічно активні речовини (гістамін, серотонін, ацетилхолін та ін.). Кванти ультрафіолетових променів діють на дезоксирибонуклеїнову кислоту (ДНК). В результаті змін виникають клітинні мутації - деякі клітини при цьому гинуть. Цей механізм лежить, зокрема, 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 основі бактерицидної дії ультрафіолетового опромінення. Найбільш виражену бактерицидну дію мають короткохвильові ультрафіолетові промені.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 впливом ультрафіолетових променів на шкірі з'являється еритема. З'являється вона не відразу, а через кілька годин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ісля опромінення (від 2 до 8 годин і більше). При дії короткохвильових променів еритема з'</w:t>
      </w:r>
      <w:proofErr w:type="gramStart"/>
      <w:r w:rsidRPr="00A153FA">
        <w:rPr>
          <w:rFonts w:ascii="Times New Roman" w:eastAsia="Times New Roman" w:hAnsi="Times New Roman"/>
        </w:rPr>
        <w:t>являється</w:t>
      </w:r>
      <w:proofErr w:type="gramEnd"/>
      <w:r w:rsidRPr="00A153FA">
        <w:rPr>
          <w:rFonts w:ascii="Times New Roman" w:eastAsia="Times New Roman" w:hAnsi="Times New Roman"/>
        </w:rPr>
        <w:t xml:space="preserve"> швидше, вона менш яскрава і швидко проходить. При опроміненні довгохвильовими променями еритема з'являється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ізніше, вона насичено червоного кольору й утримується тривалий час. Еритема супроводжується невеликою набряклістю тканин, легкою сверблячкою, поступово згасає і через 3-5 днів замінюється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ігментними плямами коричневого кольору, внаслідок накопичення в клітинах шкіри пігменту меланіну.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ігментація шкіри ("засмага") може наступати і після частих нееритемних опромінень. Дуже важливим моментом впливу ультрафіолетових променів є ї</w:t>
      </w:r>
      <w:proofErr w:type="gramStart"/>
      <w:r w:rsidRPr="00A153FA">
        <w:rPr>
          <w:rFonts w:ascii="Times New Roman" w:eastAsia="Times New Roman" w:hAnsi="Times New Roman"/>
        </w:rPr>
        <w:t>х</w:t>
      </w:r>
      <w:proofErr w:type="gramEnd"/>
      <w:r w:rsidRPr="00A153FA">
        <w:rPr>
          <w:rFonts w:ascii="Times New Roman" w:eastAsia="Times New Roman" w:hAnsi="Times New Roman"/>
        </w:rPr>
        <w:t xml:space="preserve"> вітаміноутворююча дія. Встановлено, що в результаті процесів фотоізомеризації з ергостерину утворюється вітамін D 2 , що має антирахітичну дію. Як відомо, при гіпоі авітаміноз</w:t>
      </w:r>
      <w:proofErr w:type="gramStart"/>
      <w:r w:rsidRPr="00A153FA">
        <w:rPr>
          <w:rFonts w:ascii="Times New Roman" w:eastAsia="Times New Roman" w:hAnsi="Times New Roman"/>
        </w:rPr>
        <w:t>і Д</w:t>
      </w:r>
      <w:proofErr w:type="gramEnd"/>
      <w:r w:rsidRPr="00A153FA">
        <w:rPr>
          <w:rFonts w:ascii="Times New Roman" w:eastAsia="Times New Roman" w:hAnsi="Times New Roman"/>
        </w:rPr>
        <w:t xml:space="preserve">, що розвивається внаслідок неповноцінного харчування й </w:t>
      </w:r>
      <w:r w:rsidRPr="00A153FA">
        <w:rPr>
          <w:rFonts w:ascii="Times New Roman" w:eastAsia="Times New Roman" w:hAnsi="Times New Roman"/>
        </w:rPr>
        <w:lastRenderedPageBreak/>
        <w:t xml:space="preserve">ультрафіолетової недостатності, порушується засвоєння кальцію і фосфору, зменшується їх надходження в кісткову тканину і фіксація в ній. В результаті цього знижується механічна міцність </w:t>
      </w:r>
      <w:proofErr w:type="gramStart"/>
      <w:r w:rsidRPr="00A153FA">
        <w:rPr>
          <w:rFonts w:ascii="Times New Roman" w:eastAsia="Times New Roman" w:hAnsi="Times New Roman"/>
        </w:rPr>
        <w:t>к</w:t>
      </w:r>
      <w:proofErr w:type="gramEnd"/>
      <w:r w:rsidRPr="00A153FA">
        <w:rPr>
          <w:rFonts w:ascii="Times New Roman" w:eastAsia="Times New Roman" w:hAnsi="Times New Roman"/>
        </w:rPr>
        <w:t xml:space="preserve">істок, сповільнюється їх зрощення при переломах. Зменшення вмісту кальцію в зубній тканині сприяє розвитку карієсу, а в </w:t>
      </w:r>
      <w:proofErr w:type="gramStart"/>
      <w:r w:rsidRPr="00A153FA">
        <w:rPr>
          <w:rFonts w:ascii="Times New Roman" w:eastAsia="Times New Roman" w:hAnsi="Times New Roman"/>
        </w:rPr>
        <w:t>ст</w:t>
      </w:r>
      <w:proofErr w:type="gramEnd"/>
      <w:r w:rsidRPr="00A153FA">
        <w:rPr>
          <w:rFonts w:ascii="Times New Roman" w:eastAsia="Times New Roman" w:hAnsi="Times New Roman"/>
        </w:rPr>
        <w:t xml:space="preserve">інках судин - підвищенню їх проникності і схильності до ексудативних реакцій. 70 Ультрафіолетове опромінення, сприяючи виробітку вітаміну D, активізує функцію ферменту фосфатази, забезпечуючи краще засвоєння і фіксацію тканинами, особливо кістками, фосфору і кальцію, що широко використовують для </w:t>
      </w:r>
      <w:proofErr w:type="gramStart"/>
      <w:r w:rsidRPr="00A153FA">
        <w:rPr>
          <w:rFonts w:ascii="Times New Roman" w:eastAsia="Times New Roman" w:hAnsi="Times New Roman"/>
        </w:rPr>
        <w:t>проф</w:t>
      </w:r>
      <w:proofErr w:type="gramEnd"/>
      <w:r w:rsidRPr="00A153FA">
        <w:rPr>
          <w:rFonts w:ascii="Times New Roman" w:eastAsia="Times New Roman" w:hAnsi="Times New Roman"/>
        </w:rPr>
        <w:t xml:space="preserve">ілактики і лікування рахіту у дітей, а також профілактики карієсу, при переломах кісток.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ід впливом ультрафіолетових променів поліпшується скорочувальна здатність міокарда, знижується гіпоксія, відновлюється функція зовнішнього дихання за рахунок зменшення частоти і збільшення глибини дихання, нормалізуються процеси згортання, збільшується вміст еритроцитів, підвищується гемоглобін крові, сповільнюється ШОЕ, поліпшуються показники лі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ідного обміну, збільшується активність кори наднирників. Довгохвильові ультрафіолетові опромінення в малих дозах активізують мозковий кровообіг і тонус мозкових судин. Відбуваються виражені зміни з боку периферичної нервової системи. Довгохвильові промені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ідвищують секрецію, а короткохвильові - травну здатність шлункового соку. Ультрафіолетове випромінювання (особливо довгохвильове) активізує імунну систему,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ідвищує захисно-пристосувальні механізми організму. У цілому, ультрафіолетове опромінення дає високий терапевтичний ефект при багатьох захворюваннях. Воно має знеболюючу, протизапальну, загальнозміцнюючу, імунно-стимулюючу, десенсибілізуючу дію на організм.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</w:t>
      </w:r>
      <w:r w:rsidRPr="00446E80">
        <w:rPr>
          <w:rFonts w:ascii="Times New Roman" w:eastAsia="Times New Roman" w:hAnsi="Times New Roman"/>
          <w:lang w:val="uk-UA"/>
        </w:rPr>
        <w:t xml:space="preserve">Показання. Загальні опромінення проводять для підвищення опірності організму, для загартовування і компенсації ультрафіолетової недостатності (у місцях, де мало сонячних променів). </w:t>
      </w:r>
      <w:r w:rsidRPr="00A153FA">
        <w:rPr>
          <w:rFonts w:ascii="Times New Roman" w:eastAsia="Times New Roman" w:hAnsi="Times New Roman"/>
        </w:rPr>
        <w:t xml:space="preserve">Вони проводяться </w:t>
      </w:r>
      <w:r w:rsidRPr="00A153FA">
        <w:rPr>
          <w:rFonts w:ascii="Times New Roman" w:eastAsia="Times New Roman" w:hAnsi="Times New Roman"/>
        </w:rPr>
        <w:lastRenderedPageBreak/>
        <w:t xml:space="preserve">також дітям, вагітним, матерям, що годують, для </w:t>
      </w:r>
      <w:proofErr w:type="gramStart"/>
      <w:r w:rsidRPr="00A153FA">
        <w:rPr>
          <w:rFonts w:ascii="Times New Roman" w:eastAsia="Times New Roman" w:hAnsi="Times New Roman"/>
        </w:rPr>
        <w:t>проф</w:t>
      </w:r>
      <w:proofErr w:type="gramEnd"/>
      <w:r w:rsidRPr="00A153FA">
        <w:rPr>
          <w:rFonts w:ascii="Times New Roman" w:eastAsia="Times New Roman" w:hAnsi="Times New Roman"/>
        </w:rPr>
        <w:t xml:space="preserve">ілактики рахіту. </w:t>
      </w:r>
      <w:proofErr w:type="gramStart"/>
      <w:r w:rsidRPr="00A153FA">
        <w:rPr>
          <w:rFonts w:ascii="Times New Roman" w:eastAsia="Times New Roman" w:hAnsi="Times New Roman"/>
        </w:rPr>
        <w:t>Загальне опромінення застосовують у клініці туберкульозу при ураженні кісток, суглобів, лімфовузлів та ін. Місцеві опромінення проводять при багатьох захворюваннях внутрішніх органів (бронхіти, бронхіальна астма, пневмонії, виразкова хвороба), при хворобах опорно-рухового апарата (артрити, артрози, спондильоз, остеохондроз, наслідки 71 переломів кісток), при захворюваннях нервової системи</w:t>
      </w:r>
      <w:proofErr w:type="gramEnd"/>
      <w:r w:rsidRPr="00A153FA">
        <w:rPr>
          <w:rFonts w:ascii="Times New Roman" w:eastAsia="Times New Roman" w:hAnsi="Times New Roman"/>
        </w:rPr>
        <w:t xml:space="preserve"> (радикуліти, неврити, невралгії), при ураженнях шкіри (псоріаз, екзема, довгозаживаючі рани, виразки,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іодермія, бешихове запалення).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</w:t>
      </w:r>
      <w:r w:rsidRPr="00A153FA">
        <w:rPr>
          <w:rFonts w:ascii="Times New Roman" w:eastAsia="Times New Roman" w:hAnsi="Times New Roman"/>
        </w:rPr>
        <w:t xml:space="preserve"> Протипоказання. Злоякісні новоутворення, активні форми туберкульозу легень, схильність до кровотечі, хвороби крові, системний червоний вовчак, недостатність кровообігу ІІ-ІІІ ст., гіпертонічна хвороба ІІ-ІІІ ст., тиреотоксикоз,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ідвищена чутливість шкіри, фотодерматози.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  <w:b/>
          <w:lang w:val="uk-UA"/>
        </w:rPr>
        <w:t xml:space="preserve">        </w:t>
      </w:r>
      <w:r w:rsidRPr="00A153FA">
        <w:rPr>
          <w:rFonts w:ascii="Times New Roman" w:eastAsia="Times New Roman" w:hAnsi="Times New Roman"/>
          <w:b/>
        </w:rPr>
        <w:t xml:space="preserve"> 6.4Лазерне випромінювання</w:t>
      </w:r>
      <w:r>
        <w:rPr>
          <w:rFonts w:ascii="Times New Roman" w:eastAsia="Times New Roman" w:hAnsi="Times New Roman"/>
          <w:b/>
          <w:lang w:val="uk-UA"/>
        </w:rPr>
        <w:t xml:space="preserve">. </w:t>
      </w:r>
      <w:r w:rsidRPr="00A153FA">
        <w:rPr>
          <w:rFonts w:ascii="Times New Roman" w:eastAsia="Times New Roman" w:hAnsi="Times New Roman"/>
        </w:rPr>
        <w:t xml:space="preserve"> Лазеротерапія - вплив на </w:t>
      </w:r>
      <w:proofErr w:type="gramStart"/>
      <w:r w:rsidRPr="00A153FA">
        <w:rPr>
          <w:rFonts w:ascii="Times New Roman" w:eastAsia="Times New Roman" w:hAnsi="Times New Roman"/>
        </w:rPr>
        <w:t>хворого</w:t>
      </w:r>
      <w:proofErr w:type="gramEnd"/>
      <w:r w:rsidRPr="00A153FA">
        <w:rPr>
          <w:rFonts w:ascii="Times New Roman" w:eastAsia="Times New Roman" w:hAnsi="Times New Roman"/>
        </w:rPr>
        <w:t xml:space="preserve"> електромагнітними хвилями оптичного діапазону. </w:t>
      </w:r>
      <w:proofErr w:type="gramStart"/>
      <w:r w:rsidRPr="00A153FA">
        <w:rPr>
          <w:rFonts w:ascii="Times New Roman" w:eastAsia="Times New Roman" w:hAnsi="Times New Roman"/>
        </w:rPr>
        <w:t>Випромінювання лазерів являє собою електромагнітні хвилі з такими властивостями, як монохроматичність (наявність у спектрі тільки однієї довжини хвилі), когерентність (випромінювання електромагнітних хвиль, які збігаються за частотою і фазами і посилюють один одного), незначне розсіювання потоку випромінювання або паралельність його, що дає можливість при фокусуванні одержати дуже високу щ</w:t>
      </w:r>
      <w:proofErr w:type="gramEnd"/>
      <w:r w:rsidRPr="00A153FA">
        <w:rPr>
          <w:rFonts w:ascii="Times New Roman" w:eastAsia="Times New Roman" w:hAnsi="Times New Roman"/>
        </w:rPr>
        <w:t>ільність потужності на поверхні, яка опромінюється. Інтенсивність лазерного випромінювання вимірюється у Вт/см</w:t>
      </w:r>
      <w:proofErr w:type="gramStart"/>
      <w:r w:rsidRPr="00A153FA">
        <w:rPr>
          <w:rFonts w:ascii="Times New Roman" w:eastAsia="Times New Roman" w:hAnsi="Times New Roman"/>
        </w:rPr>
        <w:t>2</w:t>
      </w:r>
      <w:proofErr w:type="gramEnd"/>
      <w:r w:rsidRPr="00A153FA">
        <w:rPr>
          <w:rFonts w:ascii="Times New Roman" w:eastAsia="Times New Roman" w:hAnsi="Times New Roman"/>
        </w:rPr>
        <w:t xml:space="preserve"> . Апаратура і методика лікування. Для лазеротерапії використовуються: лазерна фізіотерапевтична установка УЛФ-01 (02) ("Ягода"), ОКГ-12, ОКГ-13, стоматологічна установка на гелійнеоновому лазері типу ЛГ-75, лазери типу "Лам-500", "Лам-510", "Лам-550" "SLIM"(мал.18), "HEDRA 35S/50S"(мал.19). Розрізняють кілька видів лазеротерапії: 1) Черезшкірна лазеротерапія - вплив на органи і тканини здійснюється через поверхню шкіри у відповідній ділянці; 72 2) внутрішньосудинне лазерне опромінення крові. У вену вводиться голка </w:t>
      </w:r>
      <w:r w:rsidRPr="00A153FA">
        <w:rPr>
          <w:rFonts w:ascii="Times New Roman" w:eastAsia="Times New Roman" w:hAnsi="Times New Roman"/>
        </w:rPr>
        <w:lastRenderedPageBreak/>
        <w:t xml:space="preserve">або катетер і через них -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ітловід, випромінювання якого і впливають на кров; 3) внутрішньоорганна (внутрішньопорожнинна) лазеротерапія: випромінювання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ідводиться до ділянки ураження за допомогою ендоскопічної апаратури; 4) лазеропунктура - стимуляція лазерним випромінюванням точок акупунктури. Мал. 18. Апарат </w:t>
      </w:r>
      <w:proofErr w:type="gramStart"/>
      <w:r w:rsidRPr="00A153FA">
        <w:rPr>
          <w:rFonts w:ascii="Times New Roman" w:eastAsia="Times New Roman" w:hAnsi="Times New Roman"/>
        </w:rPr>
        <w:t>для</w:t>
      </w:r>
      <w:proofErr w:type="gramEnd"/>
      <w:r w:rsidRPr="00A153FA">
        <w:rPr>
          <w:rFonts w:ascii="Times New Roman" w:eastAsia="Times New Roman" w:hAnsi="Times New Roman"/>
        </w:rPr>
        <w:t xml:space="preserve"> Рис. 19. Апарат для лазеротерапії "SLIM" лазеротерапії HYDRA 35S/50S</w:t>
      </w:r>
      <w:proofErr w:type="gramStart"/>
      <w:r w:rsidRPr="00A153FA">
        <w:rPr>
          <w:rFonts w:ascii="Times New Roman" w:eastAsia="Times New Roman" w:hAnsi="Times New Roman"/>
        </w:rPr>
        <w:t xml:space="preserve"> У</w:t>
      </w:r>
      <w:proofErr w:type="gramEnd"/>
      <w:r w:rsidRPr="00A153FA">
        <w:rPr>
          <w:rFonts w:ascii="Times New Roman" w:eastAsia="Times New Roman" w:hAnsi="Times New Roman"/>
        </w:rPr>
        <w:t xml:space="preserve"> деяких випадках може проводитися зовнішнє опромінення крові лазерними променями. Найчастіше застосовується черезшкірна лазеротерапія. Процедури проводять у положенні лежачи, напівлежачи або сидячи. Очі пацієнта і персоналу захищають окулярами з фільтрами, що не пропускають хвилі з довжиною хвилі випромінювання лазера. Процедури виконують у помешканні з м'яким розсіяним освітленням щодня при щільності потужності 1-6 мВт/см</w:t>
      </w:r>
      <w:proofErr w:type="gramStart"/>
      <w:r w:rsidRPr="00A153FA">
        <w:rPr>
          <w:rFonts w:ascii="Times New Roman" w:eastAsia="Times New Roman" w:hAnsi="Times New Roman"/>
        </w:rPr>
        <w:t>2</w:t>
      </w:r>
      <w:proofErr w:type="gramEnd"/>
      <w:r w:rsidRPr="00A153FA">
        <w:rPr>
          <w:rFonts w:ascii="Times New Roman" w:eastAsia="Times New Roman" w:hAnsi="Times New Roman"/>
        </w:rPr>
        <w:t xml:space="preserve"> . Тривалість процедури від 30сек до 5хв. на одне поле. На одну процедуру - до 5 полів із сумарним часом впливу до 30 хв. Курс </w:t>
      </w:r>
      <w:proofErr w:type="gramStart"/>
      <w:r w:rsidRPr="00A153FA">
        <w:rPr>
          <w:rFonts w:ascii="Times New Roman" w:eastAsia="Times New Roman" w:hAnsi="Times New Roman"/>
        </w:rPr>
        <w:t>л</w:t>
      </w:r>
      <w:proofErr w:type="gramEnd"/>
      <w:r w:rsidRPr="00A153FA">
        <w:rPr>
          <w:rFonts w:ascii="Times New Roman" w:eastAsia="Times New Roman" w:hAnsi="Times New Roman"/>
        </w:rPr>
        <w:t xml:space="preserve">ікування до 15 процедур. При внутрішньосудинному опроміненні крові, що частіше 73 усього застосовується при ішемічній хворобі серця, </w:t>
      </w:r>
      <w:proofErr w:type="gramStart"/>
      <w:r w:rsidRPr="00A153FA">
        <w:rPr>
          <w:rFonts w:ascii="Times New Roman" w:eastAsia="Times New Roman" w:hAnsi="Times New Roman"/>
        </w:rPr>
        <w:t>обл</w:t>
      </w:r>
      <w:proofErr w:type="gramEnd"/>
      <w:r w:rsidRPr="00A153FA">
        <w:rPr>
          <w:rFonts w:ascii="Times New Roman" w:eastAsia="Times New Roman" w:hAnsi="Times New Roman"/>
        </w:rPr>
        <w:t xml:space="preserve">ітеруючих захворюваннях нижніх кінцівок, діабетичній ангіопатії, світловід вводиться у вену, потужність випромінювання від 0,5 до 5 мВт. Час впливу до 30 хв. Курс </w:t>
      </w:r>
      <w:proofErr w:type="gramStart"/>
      <w:r w:rsidRPr="00A153FA">
        <w:rPr>
          <w:rFonts w:ascii="Times New Roman" w:eastAsia="Times New Roman" w:hAnsi="Times New Roman"/>
        </w:rPr>
        <w:t>л</w:t>
      </w:r>
      <w:proofErr w:type="gramEnd"/>
      <w:r w:rsidRPr="00A153FA">
        <w:rPr>
          <w:rFonts w:ascii="Times New Roman" w:eastAsia="Times New Roman" w:hAnsi="Times New Roman"/>
        </w:rPr>
        <w:t>ікування 5-10 процедур щодня або через день. Механізм дії. В даний час у фізіотерапії застосовують випромінювання лазері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 у червоній і інфрачервоній частині </w:t>
      </w:r>
      <w:proofErr w:type="gramStart"/>
      <w:r w:rsidRPr="00A153FA">
        <w:rPr>
          <w:rFonts w:ascii="Times New Roman" w:eastAsia="Times New Roman" w:hAnsi="Times New Roman"/>
        </w:rPr>
        <w:t>спектра</w:t>
      </w:r>
      <w:proofErr w:type="gramEnd"/>
      <w:r w:rsidRPr="00A153FA">
        <w:rPr>
          <w:rFonts w:ascii="Times New Roman" w:eastAsia="Times New Roman" w:hAnsi="Times New Roman"/>
        </w:rPr>
        <w:t xml:space="preserve"> з довжиною хвилі від 620 до 1300 нм. При таких довжинах хвиль діапазон терапевтичної дії найбільш </w:t>
      </w:r>
      <w:proofErr w:type="gramStart"/>
      <w:r w:rsidRPr="00A153FA">
        <w:rPr>
          <w:rFonts w:ascii="Times New Roman" w:eastAsia="Times New Roman" w:hAnsi="Times New Roman"/>
        </w:rPr>
        <w:t>широкий</w:t>
      </w:r>
      <w:proofErr w:type="gramEnd"/>
      <w:r w:rsidRPr="00A153FA">
        <w:rPr>
          <w:rFonts w:ascii="Times New Roman" w:eastAsia="Times New Roman" w:hAnsi="Times New Roman"/>
        </w:rPr>
        <w:t xml:space="preserve">, а глибина проникнення випромінювання в тканинах - максимальна. У дії лазерного променя має значення теплова енергія, тиск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ітла, вплив електромагнітного поля, фотохімічний, фотоелектричний ефекти та ін. Спостерігаються такі ефекти: 1) У клітинах і тканинах організму є власні електромагнітні поля і вільні заряди, що під впливом лазерного випромінювання перерозподіляються, тобто відбувається пряме "енергетичне накачування" організму випромінюванням. 2) Дія </w:t>
      </w:r>
      <w:proofErr w:type="gramStart"/>
      <w:r w:rsidRPr="00A153FA">
        <w:rPr>
          <w:rFonts w:ascii="Times New Roman" w:eastAsia="Times New Roman" w:hAnsi="Times New Roman"/>
        </w:rPr>
        <w:t>лазерного</w:t>
      </w:r>
      <w:proofErr w:type="gramEnd"/>
      <w:r w:rsidRPr="00A153FA">
        <w:rPr>
          <w:rFonts w:ascii="Times New Roman" w:eastAsia="Times New Roman" w:hAnsi="Times New Roman"/>
        </w:rPr>
        <w:t xml:space="preserve"> </w:t>
      </w:r>
      <w:r w:rsidRPr="00A153FA">
        <w:rPr>
          <w:rFonts w:ascii="Times New Roman" w:eastAsia="Times New Roman" w:hAnsi="Times New Roman"/>
        </w:rPr>
        <w:lastRenderedPageBreak/>
        <w:t xml:space="preserve">випромінювання реалізується через кров. </w:t>
      </w:r>
      <w:proofErr w:type="gramStart"/>
      <w:r w:rsidRPr="00A153FA">
        <w:rPr>
          <w:rFonts w:ascii="Times New Roman" w:eastAsia="Times New Roman" w:hAnsi="Times New Roman"/>
        </w:rPr>
        <w:t>Відбувається зміна термодинамічного стану крові внаслідок розриву усередині міжмолекулярних зв'язків, що приводить до зміни біофізичних параметрів. 3) При впливі лазерного випромінювання активуються ферменти (каталаза, цитохроми), біоелектричні процеси в тканинах, що приводить до стимуляції обміну речовин, регенерації тканин. 4) Лазерне випромінювання сприятливо впливає на склад</w:t>
      </w:r>
      <w:proofErr w:type="gramEnd"/>
      <w:r w:rsidRPr="00A153FA">
        <w:rPr>
          <w:rFonts w:ascii="Times New Roman" w:eastAsia="Times New Roman" w:hAnsi="Times New Roman"/>
        </w:rPr>
        <w:t xml:space="preserve"> транспортних систем лі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ідів, мембранних ліпідів і фосфоліпідів, показники перекисного окислювання ліпідів і антиоксидантного захисту. Лазерні промені мають протизапальну, знеболюючу і десенсибілізуючу дію, стимулюють фагоцитарну активність лейкоцитів, сприятливо впливають на клітинний і гуморальний імунітет, покращують мікроциркуляцію і реологічні властивості крові, стимулюють репаративні процеси, гальмують процеси 74 перекисного окислювання лі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>ідів і здатні чинити інгібуючий вплив на ряд бактеріальних збудників. Показання. Захворювання суглобів (ДОА, ревматоїдний артрит та ін.); захворювання серця і судин (стенокардія, інфаркт міокарда, ендартеріїти); запальні захворювання (гострі пневмонії, хронічний бронхіт, тонзиліти, стоматити, отити та ін.). Поліпшення репаративних процесів при виразковій хворобі, опіках, пораненнях, трофічних виразках нижні</w:t>
      </w:r>
      <w:proofErr w:type="gramStart"/>
      <w:r w:rsidRPr="00A153FA">
        <w:rPr>
          <w:rFonts w:ascii="Times New Roman" w:eastAsia="Times New Roman" w:hAnsi="Times New Roman"/>
        </w:rPr>
        <w:t>х</w:t>
      </w:r>
      <w:proofErr w:type="gramEnd"/>
      <w:r w:rsidRPr="00A153FA">
        <w:rPr>
          <w:rFonts w:ascii="Times New Roman" w:eastAsia="Times New Roman" w:hAnsi="Times New Roman"/>
        </w:rPr>
        <w:t xml:space="preserve"> кінцівок, переломах кісток, захворюваннях нервової системи (неврити, радикуліти, невралгії і т.д.). Протипоказання: загальні для фізіотерапевтичних процедур. При внутрішньосудинному лазерному опроміненні - гіпокоагуляція і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ідвищена кровоточивість, геморагічні інсульти, сепсис. 6.5. Біоптрон Лампа Біоптрон випромінює поляризоване поліхроматичне видиме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 з довжиною хвилі 400-2000 нм з енергетичним діапазоном 2,4 дж/см2 , що нижче, ніж у лазерного променя. Апаратура і методика </w:t>
      </w:r>
      <w:proofErr w:type="gramStart"/>
      <w:r w:rsidRPr="00A153FA">
        <w:rPr>
          <w:rFonts w:ascii="Times New Roman" w:eastAsia="Times New Roman" w:hAnsi="Times New Roman"/>
        </w:rPr>
        <w:t>л</w:t>
      </w:r>
      <w:proofErr w:type="gramEnd"/>
      <w:r w:rsidRPr="00A153FA">
        <w:rPr>
          <w:rFonts w:ascii="Times New Roman" w:eastAsia="Times New Roman" w:hAnsi="Times New Roman"/>
        </w:rPr>
        <w:t>ікування. Лампа</w:t>
      </w:r>
      <w:proofErr w:type="gramStart"/>
      <w:r w:rsidRPr="00A153FA">
        <w:rPr>
          <w:rFonts w:ascii="Times New Roman" w:eastAsia="Times New Roman" w:hAnsi="Times New Roman"/>
        </w:rPr>
        <w:t xml:space="preserve"> Б</w:t>
      </w:r>
      <w:proofErr w:type="gramEnd"/>
      <w:r w:rsidRPr="00A153FA">
        <w:rPr>
          <w:rFonts w:ascii="Times New Roman" w:eastAsia="Times New Roman" w:hAnsi="Times New Roman"/>
        </w:rPr>
        <w:t xml:space="preserve">іоптрон (Швейцарія). Опромінення 1-2 рази на день по 4 хв. Від 2-3 до 5-6 днів з відстані 3 см, попередньо шкіру можна зрошувати оксиспреєм. Механізм дії. Проникаючи в шкіру на глибину 2-3 мм, видиме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 діє безпосередньо </w:t>
      </w:r>
      <w:r w:rsidRPr="00A153FA">
        <w:rPr>
          <w:rFonts w:ascii="Times New Roman" w:eastAsia="Times New Roman" w:hAnsi="Times New Roman"/>
        </w:rPr>
        <w:lastRenderedPageBreak/>
        <w:t xml:space="preserve">на кров, що циркулює в поверхневій мережі, через 15-30 хв. змінюється структура мембрани еритроцитів усієї циркулюючої крові, і, як наслідок, нормалізується їх деформованість і в'язкість. Це веде до поліпшення мікроциркуляції і газообміну. Одночасно змінюється функціональна активність усіх лейкоцитів: моноцитів, гранулоцитів, лімфоцитів. Видиме поляризаційне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 стимулює мітотичну 75 активність клітин, відбувається елімінація ушкодженої ДНК, швидше утворюється АТФ у мітохондріях. Показання до призначення. Опромінення абсолютно нешкідливе для людського організму, призначається для поліпшення кровообігу, зміцнення імунної системи, стимуляції, регенерації. Біоптрон застосовують для зняття болю (у спині, горлі, вухах, голові, </w:t>
      </w:r>
      <w:proofErr w:type="gramStart"/>
      <w:r w:rsidRPr="00A153FA">
        <w:rPr>
          <w:rFonts w:ascii="Times New Roman" w:eastAsia="Times New Roman" w:hAnsi="Times New Roman"/>
        </w:rPr>
        <w:t>зубах</w:t>
      </w:r>
      <w:proofErr w:type="gramEnd"/>
      <w:r w:rsidRPr="00A153FA">
        <w:rPr>
          <w:rFonts w:ascii="Times New Roman" w:eastAsia="Times New Roman" w:hAnsi="Times New Roman"/>
        </w:rPr>
        <w:t xml:space="preserve">, при болючих місячних), при алергії, ревматизмі, екземі, псоріазі, склеродермії, наявності депресії, перевтомі, порушеннях сну. Метод використовується при інфекційних і запальних захворюваннях (пародонтоз, вугревий висип, гострий бронхіт, фурункульоз, гайморит, герпес, хронічний тонзиліт, простатит, інфіковані раньові поверхні, опіки), для розсмоктування рубців і поліпшення косметичних властивостей шкіри (омолодження, зменшення зморщок, целюліти). Протипоказання: не виявлені.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Тести за темою: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 xml:space="preserve">ітлолікування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1. </w:t>
      </w:r>
      <w:proofErr w:type="gramStart"/>
      <w:r w:rsidRPr="00A153FA">
        <w:rPr>
          <w:rFonts w:ascii="Times New Roman" w:eastAsia="Times New Roman" w:hAnsi="Times New Roman"/>
        </w:rPr>
        <w:t>Назв</w:t>
      </w:r>
      <w:proofErr w:type="gramEnd"/>
      <w:r w:rsidRPr="00A153FA">
        <w:rPr>
          <w:rFonts w:ascii="Times New Roman" w:eastAsia="Times New Roman" w:hAnsi="Times New Roman"/>
        </w:rPr>
        <w:t xml:space="preserve">іть довжину хвиль ультрафіолетових променів: а) 400-180 нм; б) 760-400 нм в) 400 мкм - 760 нм.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2. </w:t>
      </w:r>
      <w:proofErr w:type="gramStart"/>
      <w:r w:rsidRPr="00A153FA">
        <w:rPr>
          <w:rFonts w:ascii="Times New Roman" w:eastAsia="Times New Roman" w:hAnsi="Times New Roman"/>
        </w:rPr>
        <w:t>На</w:t>
      </w:r>
      <w:proofErr w:type="gramEnd"/>
      <w:r w:rsidRPr="00A153FA">
        <w:rPr>
          <w:rFonts w:ascii="Times New Roman" w:eastAsia="Times New Roman" w:hAnsi="Times New Roman"/>
        </w:rPr>
        <w:t xml:space="preserve"> </w:t>
      </w:r>
      <w:proofErr w:type="gramStart"/>
      <w:r w:rsidRPr="00A153FA">
        <w:rPr>
          <w:rFonts w:ascii="Times New Roman" w:eastAsia="Times New Roman" w:hAnsi="Times New Roman"/>
        </w:rPr>
        <w:t>яку</w:t>
      </w:r>
      <w:proofErr w:type="gramEnd"/>
      <w:r w:rsidRPr="00A153FA">
        <w:rPr>
          <w:rFonts w:ascii="Times New Roman" w:eastAsia="Times New Roman" w:hAnsi="Times New Roman"/>
        </w:rPr>
        <w:t xml:space="preserve"> глибину проникають у тканини організму інфрачервоні промені: а) 0,1-0,3 мм; б) 1-3 мм; в) 1-3 см; г) 5-6 см.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 3. Інфрачервоні промені мають таку дію: а) хімічну; б) біологічну; в) теплову; г) радіаційну. 76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4. Еритема при інфрачервоному опроміненні виникає через: а) кілька хвилин: б) 20-30 хвилин; в) 2-3 години; г) </w:t>
      </w:r>
      <w:proofErr w:type="gramStart"/>
      <w:r w:rsidRPr="00A153FA">
        <w:rPr>
          <w:rFonts w:ascii="Times New Roman" w:eastAsia="Times New Roman" w:hAnsi="Times New Roman"/>
        </w:rPr>
        <w:t>п</w:t>
      </w:r>
      <w:proofErr w:type="gramEnd"/>
      <w:r w:rsidRPr="00A153FA">
        <w:rPr>
          <w:rFonts w:ascii="Times New Roman" w:eastAsia="Times New Roman" w:hAnsi="Times New Roman"/>
        </w:rPr>
        <w:t xml:space="preserve">ісля 3-х годин.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5. </w:t>
      </w:r>
      <w:proofErr w:type="gramStart"/>
      <w:r w:rsidRPr="00A153FA">
        <w:rPr>
          <w:rFonts w:ascii="Times New Roman" w:eastAsia="Times New Roman" w:hAnsi="Times New Roman"/>
        </w:rPr>
        <w:t>На</w:t>
      </w:r>
      <w:proofErr w:type="gramEnd"/>
      <w:r w:rsidRPr="00A153FA">
        <w:rPr>
          <w:rFonts w:ascii="Times New Roman" w:eastAsia="Times New Roman" w:hAnsi="Times New Roman"/>
        </w:rPr>
        <w:t xml:space="preserve"> </w:t>
      </w:r>
      <w:proofErr w:type="gramStart"/>
      <w:r w:rsidRPr="00A153FA">
        <w:rPr>
          <w:rFonts w:ascii="Times New Roman" w:eastAsia="Times New Roman" w:hAnsi="Times New Roman"/>
        </w:rPr>
        <w:t>яку</w:t>
      </w:r>
      <w:proofErr w:type="gramEnd"/>
      <w:r w:rsidRPr="00A153FA">
        <w:rPr>
          <w:rFonts w:ascii="Times New Roman" w:eastAsia="Times New Roman" w:hAnsi="Times New Roman"/>
        </w:rPr>
        <w:t xml:space="preserve"> глибину проникають у шкіру видимі промені: а) 5-10 см; б) 3-5 см; в) 1-3 см; г) до 1 см.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lastRenderedPageBreak/>
        <w:t xml:space="preserve">6. Якого кольору немає у видимому спектрі </w:t>
      </w:r>
      <w:proofErr w:type="gramStart"/>
      <w:r w:rsidRPr="00A153FA">
        <w:rPr>
          <w:rFonts w:ascii="Times New Roman" w:eastAsia="Times New Roman" w:hAnsi="Times New Roman"/>
        </w:rPr>
        <w:t>св</w:t>
      </w:r>
      <w:proofErr w:type="gramEnd"/>
      <w:r w:rsidRPr="00A153FA">
        <w:rPr>
          <w:rFonts w:ascii="Times New Roman" w:eastAsia="Times New Roman" w:hAnsi="Times New Roman"/>
        </w:rPr>
        <w:t>ітла: а) блакитного; б) рожевого; в) червоного; г) жовтогарячого; д) жовтого; е) зеленого; ж) синього.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 7. Який колі</w:t>
      </w:r>
      <w:proofErr w:type="gramStart"/>
      <w:r w:rsidRPr="00A153FA">
        <w:rPr>
          <w:rFonts w:ascii="Times New Roman" w:eastAsia="Times New Roman" w:hAnsi="Times New Roman"/>
        </w:rPr>
        <w:t>р</w:t>
      </w:r>
      <w:proofErr w:type="gramEnd"/>
      <w:r w:rsidRPr="00A153FA">
        <w:rPr>
          <w:rFonts w:ascii="Times New Roman" w:eastAsia="Times New Roman" w:hAnsi="Times New Roman"/>
        </w:rPr>
        <w:t xml:space="preserve"> гальмує нервово-психічну діяльність людини: а) червоний; б) жовтий; в) синій; г) зелений.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8. Яка дія найбільш виражена у середньохвильових УФП: а) бактерицидна; б) 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ітаміноутворююча; в) еритемоутворююча.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9. </w:t>
      </w:r>
      <w:proofErr w:type="gramStart"/>
      <w:r w:rsidRPr="00A153FA">
        <w:rPr>
          <w:rFonts w:ascii="Times New Roman" w:eastAsia="Times New Roman" w:hAnsi="Times New Roman"/>
        </w:rPr>
        <w:t>На</w:t>
      </w:r>
      <w:proofErr w:type="gramEnd"/>
      <w:r w:rsidRPr="00A153FA">
        <w:rPr>
          <w:rFonts w:ascii="Times New Roman" w:eastAsia="Times New Roman" w:hAnsi="Times New Roman"/>
        </w:rPr>
        <w:t xml:space="preserve"> </w:t>
      </w:r>
      <w:proofErr w:type="gramStart"/>
      <w:r w:rsidRPr="00A153FA">
        <w:rPr>
          <w:rFonts w:ascii="Times New Roman" w:eastAsia="Times New Roman" w:hAnsi="Times New Roman"/>
        </w:rPr>
        <w:t>яку</w:t>
      </w:r>
      <w:proofErr w:type="gramEnd"/>
      <w:r w:rsidRPr="00A153FA">
        <w:rPr>
          <w:rFonts w:ascii="Times New Roman" w:eastAsia="Times New Roman" w:hAnsi="Times New Roman"/>
        </w:rPr>
        <w:t xml:space="preserve"> глибину проникають у тканини ультрафіолетові промені: а) до 1 мм; 77 б) 3-5 мм; в) 5-10 мм; г) більше 1 см. </w:t>
      </w:r>
    </w:p>
    <w:p w:rsidR="00446E80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A153FA">
        <w:rPr>
          <w:rFonts w:ascii="Times New Roman" w:eastAsia="Times New Roman" w:hAnsi="Times New Roman"/>
        </w:rPr>
        <w:t xml:space="preserve">10. Яка дія найбільш виражена у короткохвильових УФП: а) еритемоутворююча; б) </w:t>
      </w:r>
      <w:proofErr w:type="gramStart"/>
      <w:r w:rsidRPr="00A153FA">
        <w:rPr>
          <w:rFonts w:ascii="Times New Roman" w:eastAsia="Times New Roman" w:hAnsi="Times New Roman"/>
        </w:rPr>
        <w:t>в</w:t>
      </w:r>
      <w:proofErr w:type="gramEnd"/>
      <w:r w:rsidRPr="00A153FA">
        <w:rPr>
          <w:rFonts w:ascii="Times New Roman" w:eastAsia="Times New Roman" w:hAnsi="Times New Roman"/>
        </w:rPr>
        <w:t xml:space="preserve">ітаміноутворююча; в) бактерицидна; </w:t>
      </w:r>
    </w:p>
    <w:p w:rsidR="00A153FA" w:rsidRP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446E80">
        <w:rPr>
          <w:rFonts w:ascii="Times New Roman" w:eastAsia="Times New Roman" w:hAnsi="Times New Roman"/>
          <w:lang w:val="uk-UA"/>
        </w:rPr>
        <w:t>11. Якої дії не має загальне ультрафіолетове опромінення: а) бактерицидної; б) протизапальної; в) імунностимулюючої; г) кровоспинної; д) протирахітичної; е) загальнозміцнюючої</w:t>
      </w:r>
      <w:r>
        <w:rPr>
          <w:rFonts w:ascii="Times New Roman" w:eastAsia="Times New Roman" w:hAnsi="Times New Roman"/>
          <w:lang w:val="uk-UA"/>
        </w:rPr>
        <w:t xml:space="preserve"> </w:t>
      </w: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A153FA" w:rsidRDefault="00A153FA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E83496" w:rsidRPr="00B52553" w:rsidRDefault="00B52553" w:rsidP="002645F3">
      <w:pPr>
        <w:spacing w:line="349" w:lineRule="exact"/>
        <w:rPr>
          <w:rFonts w:ascii="Times New Roman" w:eastAsia="Times New Roman" w:hAnsi="Times New Roman"/>
          <w:lang w:val="uk-UA"/>
        </w:rPr>
      </w:pPr>
      <w:r w:rsidRPr="00B52553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uk-UA"/>
        </w:rPr>
        <w:t xml:space="preserve"> </w:t>
      </w:r>
    </w:p>
    <w:p w:rsidR="006B2CDB" w:rsidRDefault="006B2CDB" w:rsidP="002645F3">
      <w:pPr>
        <w:spacing w:line="349" w:lineRule="exact"/>
        <w:rPr>
          <w:rFonts w:ascii="Times New Roman" w:eastAsia="Times New Roman" w:hAnsi="Times New Roman"/>
          <w:lang w:val="uk-UA"/>
        </w:rPr>
      </w:pPr>
    </w:p>
    <w:p w:rsidR="001332C1" w:rsidRDefault="001332C1" w:rsidP="00365FC7">
      <w:pPr>
        <w:rPr>
          <w:rFonts w:ascii="Times New Roman" w:eastAsia="Times New Roman" w:hAnsi="Times New Roman"/>
          <w:color w:val="00000A"/>
          <w:lang w:val="uk-UA"/>
        </w:rPr>
      </w:pP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  <w:lang w:val="uk-UA"/>
        </w:rPr>
      </w:pPr>
      <w:r w:rsidRPr="006A4808">
        <w:rPr>
          <w:b/>
          <w:bCs/>
          <w:color w:val="000000"/>
          <w:sz w:val="20"/>
          <w:szCs w:val="20"/>
        </w:rPr>
        <w:t>Основні</w:t>
      </w:r>
      <w:r w:rsidR="00B040AA" w:rsidRPr="006A4808">
        <w:rPr>
          <w:b/>
          <w:bCs/>
          <w:color w:val="000000"/>
          <w:sz w:val="20"/>
          <w:szCs w:val="20"/>
          <w:lang w:val="uk-UA"/>
        </w:rPr>
        <w:t xml:space="preserve"> джерела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1. Заваріка, Г. М. Курортна справа [Текст]: навч. </w:t>
      </w:r>
      <w:proofErr w:type="gramStart"/>
      <w:r w:rsidRPr="006A4808">
        <w:rPr>
          <w:color w:val="000000"/>
          <w:sz w:val="20"/>
          <w:szCs w:val="20"/>
        </w:rPr>
        <w:t>пос</w:t>
      </w:r>
      <w:proofErr w:type="gramEnd"/>
      <w:r w:rsidRPr="006A4808">
        <w:rPr>
          <w:color w:val="000000"/>
          <w:sz w:val="20"/>
          <w:szCs w:val="20"/>
        </w:rPr>
        <w:t>ібник / Г. М. Заваріка ; МОН України. – К.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Центр учб. л-ри, 2015. – 264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2. Клапчук, В. М. Курортна справа. Організація, територіальне планування, система управління [Текст] : навч</w:t>
      </w:r>
      <w:proofErr w:type="gramStart"/>
      <w:r w:rsidRPr="006A4808">
        <w:rPr>
          <w:color w:val="000000"/>
          <w:sz w:val="20"/>
          <w:szCs w:val="20"/>
        </w:rPr>
        <w:t>.-</w:t>
      </w:r>
      <w:proofErr w:type="gramEnd"/>
      <w:r w:rsidRPr="006A4808">
        <w:rPr>
          <w:color w:val="000000"/>
          <w:sz w:val="20"/>
          <w:szCs w:val="20"/>
        </w:rPr>
        <w:t xml:space="preserve">метод. посібник / В. М. Клапчук, Л. В. Ковальська. – Івано-Франківськ : Фоліант, 2013. – 400 </w:t>
      </w:r>
      <w:proofErr w:type="gramStart"/>
      <w:r w:rsidRPr="006A4808">
        <w:rPr>
          <w:color w:val="000000"/>
          <w:sz w:val="20"/>
          <w:szCs w:val="20"/>
        </w:rPr>
        <w:t>с</w:t>
      </w:r>
      <w:proofErr w:type="gramEnd"/>
      <w:r w:rsidRPr="006A4808">
        <w:rPr>
          <w:color w:val="000000"/>
          <w:sz w:val="20"/>
          <w:szCs w:val="20"/>
        </w:rPr>
        <w:t>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3. Кравець О. М. Курортологія : </w:t>
      </w:r>
      <w:proofErr w:type="gramStart"/>
      <w:r w:rsidRPr="006A4808">
        <w:rPr>
          <w:color w:val="000000"/>
          <w:sz w:val="20"/>
          <w:szCs w:val="20"/>
        </w:rPr>
        <w:t>п</w:t>
      </w:r>
      <w:proofErr w:type="gramEnd"/>
      <w:r w:rsidRPr="006A4808">
        <w:rPr>
          <w:color w:val="000000"/>
          <w:sz w:val="20"/>
          <w:szCs w:val="20"/>
        </w:rPr>
        <w:t>ідручник / О. М. Кравець, А. А. Рябєв 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2017. – 167 с. – ISBN 978-966-695-421-6.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4. Кравець О. М. Конспект лекцій з дисципліни «Курортологія» (длястудентів </w:t>
      </w:r>
      <w:proofErr w:type="gramStart"/>
      <w:r w:rsidRPr="006A4808">
        <w:rPr>
          <w:color w:val="000000"/>
          <w:sz w:val="20"/>
          <w:szCs w:val="20"/>
        </w:rPr>
        <w:t>вс</w:t>
      </w:r>
      <w:proofErr w:type="gramEnd"/>
      <w:r w:rsidRPr="006A4808">
        <w:rPr>
          <w:color w:val="000000"/>
          <w:sz w:val="20"/>
          <w:szCs w:val="20"/>
        </w:rPr>
        <w:t xml:space="preserve">іх форм навчання напрямів підготовки 6.030601 – Менеджмент, 6.140101 – Готельно-ресторанна справа, 6.140103 – Туризм) </w:t>
      </w:r>
      <w:r w:rsidRPr="006A4808">
        <w:rPr>
          <w:color w:val="000000"/>
          <w:sz w:val="20"/>
          <w:szCs w:val="20"/>
        </w:rPr>
        <w:lastRenderedPageBreak/>
        <w:t>/ Кравець О. М., Рябєв А. А.; Харків. нац. ун-т міськ. госп-ва ім. О. М. Бекетова. – Харків</w:t>
      </w:r>
      <w:proofErr w:type="gramStart"/>
      <w:r w:rsidRPr="006A4808">
        <w:rPr>
          <w:color w:val="000000"/>
          <w:sz w:val="20"/>
          <w:szCs w:val="20"/>
        </w:rPr>
        <w:t xml:space="preserve"> :</w:t>
      </w:r>
      <w:proofErr w:type="gramEnd"/>
      <w:r w:rsidRPr="006A4808">
        <w:rPr>
          <w:color w:val="000000"/>
          <w:sz w:val="20"/>
          <w:szCs w:val="20"/>
        </w:rPr>
        <w:t xml:space="preserve"> ХНУМГ ім. О. М. Бекетова, 2014. – 106 с.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Допоміжні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  <w:lang w:val="uk-UA"/>
        </w:rPr>
      </w:pPr>
      <w:r w:rsidRPr="006A4808">
        <w:rPr>
          <w:color w:val="000000"/>
          <w:sz w:val="20"/>
          <w:szCs w:val="20"/>
          <w:lang w:val="uk-UA"/>
        </w:rPr>
        <w:t>6. Ведмідь Н. І. Класифікація санаторно-курортних і оздоровчих підприємств / Н.І. Ведмідь // Культура народів Причорномор’я. – 2012. – № 238. – С. 9–13.</w:t>
      </w:r>
    </w:p>
    <w:p w:rsidR="001332C1" w:rsidRPr="006A4808" w:rsidRDefault="001332C1" w:rsidP="001332C1">
      <w:pPr>
        <w:pStyle w:val="a5"/>
        <w:spacing w:before="0" w:beforeAutospacing="0" w:after="20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7. Влащенко Н. М. Нормативно-правове забезпечення </w:t>
      </w:r>
      <w:proofErr w:type="gramStart"/>
      <w:r w:rsidRPr="006A4808">
        <w:rPr>
          <w:color w:val="000000"/>
          <w:sz w:val="20"/>
          <w:szCs w:val="20"/>
        </w:rPr>
        <w:t>санаторно-курортно</w:t>
      </w:r>
      <w:proofErr w:type="gramEnd"/>
      <w:r w:rsidRPr="006A4808">
        <w:rPr>
          <w:color w:val="000000"/>
          <w:sz w:val="20"/>
          <w:szCs w:val="20"/>
        </w:rPr>
        <w:t>ї діяльності в Україні / Н. М. Влащенко // Бізнес Інформ. – 2012. – № 4. – С. 147–150. </w:t>
      </w:r>
    </w:p>
    <w:p w:rsidR="001332C1" w:rsidRPr="006A4808" w:rsidRDefault="001332C1" w:rsidP="001332C1"/>
    <w:p w:rsidR="001332C1" w:rsidRPr="006A4808" w:rsidRDefault="001332C1" w:rsidP="001332C1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6A4808">
        <w:rPr>
          <w:b/>
          <w:bCs/>
          <w:color w:val="000000"/>
          <w:sz w:val="20"/>
          <w:szCs w:val="20"/>
        </w:rPr>
        <w:t>Інформаційні ресурси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>8. </w:t>
      </w:r>
      <w:hyperlink r:id="rId6" w:history="1">
        <w:r w:rsidRPr="006A4808">
          <w:rPr>
            <w:rStyle w:val="a3"/>
            <w:color w:val="000000"/>
            <w:sz w:val="20"/>
            <w:szCs w:val="20"/>
          </w:rPr>
          <w:t>http://www.medtour.info/aboutresorts/classification/balneo10/balneo10-</w:t>
        </w:r>
      </w:hyperlink>
      <w:r w:rsidRPr="006A4808">
        <w:rPr>
          <w:color w:val="000000"/>
          <w:sz w:val="20"/>
          <w:szCs w:val="20"/>
        </w:rPr>
        <w:t xml:space="preserve"> кліматотерапія 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9. </w:t>
      </w:r>
      <w:hyperlink r:id="rId7" w:history="1">
        <w:r w:rsidRPr="006A4808">
          <w:rPr>
            <w:rStyle w:val="a3"/>
            <w:color w:val="000000"/>
            <w:sz w:val="20"/>
            <w:szCs w:val="20"/>
          </w:rPr>
          <w:t>http://info.kmvcity.ru/106</w:t>
        </w:r>
      </w:hyperlink>
      <w:r w:rsidRPr="006A4808">
        <w:rPr>
          <w:color w:val="000000"/>
          <w:sz w:val="20"/>
          <w:szCs w:val="20"/>
        </w:rPr>
        <w:t xml:space="preserve"> - санаторно-курортне лікування</w:t>
      </w:r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10. </w:t>
      </w:r>
      <w:hyperlink r:id="rId8" w:history="1">
        <w:r w:rsidRPr="006A4808">
          <w:rPr>
            <w:rStyle w:val="a3"/>
            <w:color w:val="000000"/>
            <w:sz w:val="20"/>
            <w:szCs w:val="20"/>
          </w:rPr>
          <w:t>http://www.tour-info.ru/kyrort/kyrort_vid.html</w:t>
        </w:r>
      </w:hyperlink>
      <w:r w:rsidRPr="006A4808">
        <w:rPr>
          <w:color w:val="000000"/>
          <w:sz w:val="20"/>
          <w:szCs w:val="20"/>
        </w:rPr>
        <w:t xml:space="preserve"> - класифікація курорті</w:t>
      </w:r>
      <w:proofErr w:type="gramStart"/>
      <w:r w:rsidRPr="006A4808">
        <w:rPr>
          <w:color w:val="000000"/>
          <w:sz w:val="20"/>
          <w:szCs w:val="20"/>
        </w:rPr>
        <w:t>в</w:t>
      </w:r>
      <w:proofErr w:type="gramEnd"/>
    </w:p>
    <w:p w:rsidR="001332C1" w:rsidRPr="006A4808" w:rsidRDefault="001332C1" w:rsidP="001332C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6A4808">
        <w:rPr>
          <w:color w:val="000000"/>
          <w:sz w:val="20"/>
          <w:szCs w:val="20"/>
        </w:rPr>
        <w:t xml:space="preserve">11. </w:t>
      </w:r>
      <w:hyperlink r:id="rId9" w:history="1">
        <w:r w:rsidRPr="006A4808">
          <w:rPr>
            <w:rStyle w:val="a3"/>
            <w:color w:val="000000"/>
            <w:sz w:val="20"/>
            <w:szCs w:val="20"/>
          </w:rPr>
          <w:t>http://mozdocs.kiev.ua/index.php?nav=8</w:t>
        </w:r>
      </w:hyperlink>
      <w:r w:rsidRPr="006A4808">
        <w:rPr>
          <w:color w:val="000000"/>
          <w:sz w:val="20"/>
          <w:szCs w:val="20"/>
        </w:rPr>
        <w:t xml:space="preserve"> – медична документація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лікування</w:t>
      </w:r>
    </w:p>
    <w:p w:rsidR="001332C1" w:rsidRPr="00C10986" w:rsidRDefault="001332C1" w:rsidP="00C10986">
      <w:pPr>
        <w:pStyle w:val="a5"/>
        <w:spacing w:before="0" w:beforeAutospacing="0" w:after="0" w:afterAutospacing="0"/>
        <w:jc w:val="both"/>
        <w:rPr>
          <w:sz w:val="20"/>
          <w:szCs w:val="20"/>
          <w:lang w:val="uk-UA"/>
        </w:rPr>
        <w:sectPr w:rsidR="001332C1" w:rsidRPr="00C10986">
          <w:type w:val="continuous"/>
          <w:pgSz w:w="8400" w:h="11906"/>
          <w:pgMar w:top="1125" w:right="1133" w:bottom="161" w:left="840" w:header="0" w:footer="0" w:gutter="0"/>
          <w:cols w:space="720"/>
        </w:sectPr>
      </w:pPr>
      <w:r w:rsidRPr="006A4808">
        <w:rPr>
          <w:color w:val="000000"/>
          <w:sz w:val="20"/>
          <w:szCs w:val="20"/>
        </w:rPr>
        <w:t xml:space="preserve">12. </w:t>
      </w:r>
      <w:hyperlink r:id="rId10" w:history="1">
        <w:r w:rsidRPr="006A4808">
          <w:rPr>
            <w:rStyle w:val="a3"/>
            <w:color w:val="000000"/>
            <w:sz w:val="20"/>
            <w:szCs w:val="20"/>
          </w:rPr>
          <w:t>http://www.regionpred.ru/disease/pokazaniya_k_leceniyu.htm</w:t>
        </w:r>
      </w:hyperlink>
      <w:r w:rsidRPr="006A4808">
        <w:rPr>
          <w:color w:val="000000"/>
          <w:sz w:val="20"/>
          <w:szCs w:val="20"/>
        </w:rPr>
        <w:t xml:space="preserve"> - показання та протипоказання для </w:t>
      </w:r>
      <w:proofErr w:type="gramStart"/>
      <w:r w:rsidRPr="006A4808">
        <w:rPr>
          <w:color w:val="000000"/>
          <w:sz w:val="20"/>
          <w:szCs w:val="20"/>
        </w:rPr>
        <w:t>санаторно-курортного</w:t>
      </w:r>
      <w:proofErr w:type="gramEnd"/>
      <w:r w:rsidRPr="006A4808">
        <w:rPr>
          <w:color w:val="000000"/>
          <w:sz w:val="20"/>
          <w:szCs w:val="20"/>
        </w:rPr>
        <w:t xml:space="preserve"> лікуван</w:t>
      </w:r>
      <w:r w:rsidR="00C10986">
        <w:rPr>
          <w:color w:val="000000"/>
          <w:sz w:val="20"/>
          <w:szCs w:val="20"/>
          <w:lang w:val="uk-UA"/>
        </w:rPr>
        <w:t>я.</w:t>
      </w:r>
    </w:p>
    <w:p w:rsidR="003F7292" w:rsidRPr="00C10986" w:rsidRDefault="003F7292" w:rsidP="003F7292">
      <w:pPr>
        <w:rPr>
          <w:rFonts w:ascii="Times New Roman" w:eastAsia="Times New Roman" w:hAnsi="Times New Roman"/>
          <w:lang w:val="uk-UA"/>
        </w:rPr>
        <w:sectPr w:rsidR="003F7292" w:rsidRPr="00C10986">
          <w:pgSz w:w="8400" w:h="11906"/>
          <w:pgMar w:top="1136" w:right="853" w:bottom="161" w:left="1133" w:header="0" w:footer="0" w:gutter="0"/>
          <w:cols w:space="720"/>
        </w:sectPr>
      </w:pPr>
      <w:bookmarkStart w:id="1" w:name="page37"/>
      <w:bookmarkEnd w:id="1"/>
    </w:p>
    <w:p w:rsidR="00DB3715" w:rsidRDefault="00DB3715" w:rsidP="00C10986">
      <w:pPr>
        <w:spacing w:line="252" w:lineRule="auto"/>
        <w:ind w:right="20"/>
        <w:rPr>
          <w:rFonts w:ascii="Arial" w:eastAsia="Arial" w:hAnsi="Arial"/>
          <w:b/>
          <w:color w:val="00000A"/>
          <w:sz w:val="19"/>
          <w:lang w:val="uk-UA"/>
        </w:rPr>
      </w:pPr>
      <w:bookmarkStart w:id="2" w:name="page32"/>
      <w:bookmarkStart w:id="3" w:name="page25"/>
      <w:bookmarkEnd w:id="2"/>
      <w:bookmarkEnd w:id="3"/>
    </w:p>
    <w:sectPr w:rsidR="00DB3715" w:rsidSect="00DB3715">
      <w:pgSz w:w="8400" w:h="11906"/>
      <w:pgMar w:top="1136" w:right="1133" w:bottom="161" w:left="8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2F305DE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2"/>
    <w:multiLevelType w:val="hybridMultilevel"/>
    <w:tmpl w:val="25A70BF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3"/>
    <w:multiLevelType w:val="hybridMultilevel"/>
    <w:tmpl w:val="1DBABF0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4"/>
    <w:multiLevelType w:val="hybridMultilevel"/>
    <w:tmpl w:val="4AD084E8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5"/>
    <w:multiLevelType w:val="hybridMultilevel"/>
    <w:tmpl w:val="1F48EAA0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6"/>
    <w:multiLevelType w:val="hybridMultilevel"/>
    <w:tmpl w:val="138182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7"/>
    <w:multiLevelType w:val="hybridMultilevel"/>
    <w:tmpl w:val="5DB70AE4"/>
    <w:lvl w:ilvl="0" w:tplc="FFFFFFFF">
      <w:start w:val="36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8"/>
    <w:multiLevelType w:val="hybridMultilevel"/>
    <w:tmpl w:val="100F8FC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9"/>
    <w:multiLevelType w:val="hybridMultilevel"/>
    <w:tmpl w:val="6590700A"/>
    <w:lvl w:ilvl="0" w:tplc="FFFFFFFF">
      <w:start w:val="1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2A"/>
    <w:multiLevelType w:val="hybridMultilevel"/>
    <w:tmpl w:val="15014AC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2B"/>
    <w:multiLevelType w:val="hybridMultilevel"/>
    <w:tmpl w:val="5F5E7FD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2C"/>
    <w:multiLevelType w:val="hybridMultilevel"/>
    <w:tmpl w:val="098A314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2D"/>
    <w:multiLevelType w:val="hybridMultilevel"/>
    <w:tmpl w:val="799D02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2E"/>
    <w:multiLevelType w:val="hybridMultilevel"/>
    <w:tmpl w:val="06B9476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2F"/>
    <w:multiLevelType w:val="hybridMultilevel"/>
    <w:tmpl w:val="42C296B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30"/>
    <w:multiLevelType w:val="hybridMultilevel"/>
    <w:tmpl w:val="168E121E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31"/>
    <w:multiLevelType w:val="hybridMultilevel"/>
    <w:tmpl w:val="1EBA5D22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32"/>
    <w:multiLevelType w:val="hybridMultilevel"/>
    <w:tmpl w:val="661E3F1E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33"/>
    <w:multiLevelType w:val="hybridMultilevel"/>
    <w:tmpl w:val="5DC79EA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34"/>
    <w:multiLevelType w:val="hybridMultilevel"/>
    <w:tmpl w:val="540A471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35"/>
    <w:multiLevelType w:val="hybridMultilevel"/>
    <w:tmpl w:val="7BD3EE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36"/>
    <w:multiLevelType w:val="hybridMultilevel"/>
    <w:tmpl w:val="51D9C56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37"/>
    <w:multiLevelType w:val="hybridMultilevel"/>
    <w:tmpl w:val="613EFD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38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3B"/>
    <w:multiLevelType w:val="hybridMultilevel"/>
    <w:tmpl w:val="0A0382C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47"/>
    <w:multiLevelType w:val="hybridMultilevel"/>
    <w:tmpl w:val="100F59D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48"/>
    <w:multiLevelType w:val="hybridMultilevel"/>
    <w:tmpl w:val="7FB7E0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49"/>
    <w:multiLevelType w:val="hybridMultilevel"/>
    <w:tmpl w:val="06EB5BD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4A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4B"/>
    <w:multiLevelType w:val="hybridMultilevel"/>
    <w:tmpl w:val="09421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4D"/>
    <w:multiLevelType w:val="hybridMultilevel"/>
    <w:tmpl w:val="7627211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4E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4F"/>
    <w:multiLevelType w:val="hybridMultilevel"/>
    <w:tmpl w:val="171670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50"/>
    <w:multiLevelType w:val="hybridMultilevel"/>
    <w:tmpl w:val="14E17E32"/>
    <w:lvl w:ilvl="0" w:tplc="FFFFFFFF">
      <w:start w:val="1"/>
      <w:numFmt w:val="bullet"/>
      <w:lvlText w:val="і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51"/>
    <w:multiLevelType w:val="hybridMultilevel"/>
    <w:tmpl w:val="3222E7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52"/>
    <w:multiLevelType w:val="hybridMultilevel"/>
    <w:tmpl w:val="74DE0EE2"/>
    <w:lvl w:ilvl="0" w:tplc="FFFFFFFF">
      <w:start w:val="1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53"/>
    <w:multiLevelType w:val="hybridMultilevel"/>
    <w:tmpl w:val="68EBC5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54"/>
    <w:multiLevelType w:val="hybridMultilevel"/>
    <w:tmpl w:val="2DF6D648"/>
    <w:lvl w:ilvl="0" w:tplc="FFFFFFFF">
      <w:start w:val="35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55"/>
    <w:multiLevelType w:val="hybridMultilevel"/>
    <w:tmpl w:val="46B7D4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56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58"/>
    <w:multiLevelType w:val="hybridMultilevel"/>
    <w:tmpl w:val="57FC4F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00000059"/>
    <w:multiLevelType w:val="hybridMultilevel"/>
    <w:tmpl w:val="0CC1016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>
    <w:nsid w:val="0000005A"/>
    <w:multiLevelType w:val="hybridMultilevel"/>
    <w:tmpl w:val="43F184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>
    <w:nsid w:val="0000005B"/>
    <w:multiLevelType w:val="hybridMultilevel"/>
    <w:tmpl w:val="60EF0118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0000005C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>
    <w:nsid w:val="0000005D"/>
    <w:multiLevelType w:val="hybridMultilevel"/>
    <w:tmpl w:val="7F015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6">
    <w:nsid w:val="0000005E"/>
    <w:multiLevelType w:val="hybridMultilevel"/>
    <w:tmpl w:val="49DA307C"/>
    <w:lvl w:ilvl="0" w:tplc="FFFFFFFF">
      <w:start w:val="1"/>
      <w:numFmt w:val="bullet"/>
      <w:lvlText w:val="з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0000005F"/>
    <w:multiLevelType w:val="hybridMultilevel"/>
    <w:tmpl w:val="7055A5F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3"/>
  </w:num>
  <w:num w:numId="4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494569"/>
    <w:rsid w:val="00011AD1"/>
    <w:rsid w:val="000B5E14"/>
    <w:rsid w:val="000C1D72"/>
    <w:rsid w:val="000D596B"/>
    <w:rsid w:val="000F4D5F"/>
    <w:rsid w:val="00103AB6"/>
    <w:rsid w:val="00123069"/>
    <w:rsid w:val="001332C1"/>
    <w:rsid w:val="001507F1"/>
    <w:rsid w:val="00153803"/>
    <w:rsid w:val="001679F3"/>
    <w:rsid w:val="00194F7C"/>
    <w:rsid w:val="001B483C"/>
    <w:rsid w:val="001D32BF"/>
    <w:rsid w:val="002645F3"/>
    <w:rsid w:val="00274644"/>
    <w:rsid w:val="00297523"/>
    <w:rsid w:val="002B5AE0"/>
    <w:rsid w:val="002C4ED8"/>
    <w:rsid w:val="002C60A3"/>
    <w:rsid w:val="003264A7"/>
    <w:rsid w:val="00327D24"/>
    <w:rsid w:val="00334CC2"/>
    <w:rsid w:val="00365FC7"/>
    <w:rsid w:val="00380E86"/>
    <w:rsid w:val="00397788"/>
    <w:rsid w:val="003A631A"/>
    <w:rsid w:val="003F7292"/>
    <w:rsid w:val="004360C8"/>
    <w:rsid w:val="00446E80"/>
    <w:rsid w:val="00484504"/>
    <w:rsid w:val="00494569"/>
    <w:rsid w:val="004A1B9D"/>
    <w:rsid w:val="0052204F"/>
    <w:rsid w:val="005310E5"/>
    <w:rsid w:val="00542521"/>
    <w:rsid w:val="0054704E"/>
    <w:rsid w:val="00556AAC"/>
    <w:rsid w:val="00664392"/>
    <w:rsid w:val="00671993"/>
    <w:rsid w:val="006A4808"/>
    <w:rsid w:val="006B2CDB"/>
    <w:rsid w:val="00722D9D"/>
    <w:rsid w:val="00726369"/>
    <w:rsid w:val="007500A7"/>
    <w:rsid w:val="00780571"/>
    <w:rsid w:val="00855A54"/>
    <w:rsid w:val="00870A73"/>
    <w:rsid w:val="00871DD5"/>
    <w:rsid w:val="008834D1"/>
    <w:rsid w:val="008A070D"/>
    <w:rsid w:val="008B59E4"/>
    <w:rsid w:val="008D7D28"/>
    <w:rsid w:val="0091757B"/>
    <w:rsid w:val="0094168D"/>
    <w:rsid w:val="00997086"/>
    <w:rsid w:val="009C0809"/>
    <w:rsid w:val="009C634E"/>
    <w:rsid w:val="009F39EA"/>
    <w:rsid w:val="00A153FA"/>
    <w:rsid w:val="00A32A30"/>
    <w:rsid w:val="00A62810"/>
    <w:rsid w:val="00A97A93"/>
    <w:rsid w:val="00AA2622"/>
    <w:rsid w:val="00B00B4B"/>
    <w:rsid w:val="00B040AA"/>
    <w:rsid w:val="00B470C6"/>
    <w:rsid w:val="00B52553"/>
    <w:rsid w:val="00B928D8"/>
    <w:rsid w:val="00C07269"/>
    <w:rsid w:val="00C10986"/>
    <w:rsid w:val="00C164AE"/>
    <w:rsid w:val="00CA35A6"/>
    <w:rsid w:val="00CF0981"/>
    <w:rsid w:val="00D013A7"/>
    <w:rsid w:val="00D02872"/>
    <w:rsid w:val="00D379BA"/>
    <w:rsid w:val="00D6551A"/>
    <w:rsid w:val="00DA5D72"/>
    <w:rsid w:val="00DB3715"/>
    <w:rsid w:val="00DF1C0E"/>
    <w:rsid w:val="00DF2828"/>
    <w:rsid w:val="00E002BD"/>
    <w:rsid w:val="00E11B3B"/>
    <w:rsid w:val="00E83496"/>
    <w:rsid w:val="00E9295F"/>
    <w:rsid w:val="00EA0EF8"/>
    <w:rsid w:val="00ED3A2C"/>
    <w:rsid w:val="00F023E1"/>
    <w:rsid w:val="00F05540"/>
    <w:rsid w:val="00F33D33"/>
    <w:rsid w:val="00F66003"/>
    <w:rsid w:val="00F814DD"/>
    <w:rsid w:val="00F8511F"/>
    <w:rsid w:val="00F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1993"/>
    <w:pPr>
      <w:ind w:left="720"/>
      <w:contextualSpacing/>
    </w:pPr>
  </w:style>
  <w:style w:type="paragraph" w:styleId="a5">
    <w:name w:val="Normal (Web)"/>
    <w:basedOn w:val="a"/>
    <w:unhideWhenUsed/>
    <w:rsid w:val="00133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info.ru/kyrort/kyrort_vi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.kmvcity.ru/10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tour.info/aboutresorts/classification/balneo10/balneo10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pred.ru/disease/pokazaniya_k_leceniy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zdocs.kiev.ua/index.php?nav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08E19-2CD4-4EFE-A3A0-E4223DAD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Влолодимир</dc:creator>
  <cp:lastModifiedBy>Влолодимир</cp:lastModifiedBy>
  <cp:revision>62</cp:revision>
  <dcterms:created xsi:type="dcterms:W3CDTF">2022-11-15T12:15:00Z</dcterms:created>
  <dcterms:modified xsi:type="dcterms:W3CDTF">2024-04-19T09:20:00Z</dcterms:modified>
</cp:coreProperties>
</file>