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ВІДКРИТИЙ МІЖНАРОДНИЙ УНІВЕРСИТЕТ РОЗВИТКУ ЛЮДИНИ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“УКРАЇНА”</w:t>
      </w: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КОЛЕДЖ “ОСВІТА”</w:t>
      </w: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ПРАКТИЧНА РОБОТА </w:t>
      </w: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Екскурсійний маршрут Києвом для людей з інвалідністю</w:t>
      </w: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Виконала:</w:t>
      </w: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Студентка групи ТУ-17-ТУ-17-1мс </w:t>
      </w: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Присяжнюк Аліна </w:t>
      </w: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right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jc w:val="center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Київ 2020</w:t>
      </w:r>
    </w:p>
    <w:p>
      <w:pPr>
        <w:jc w:val="center"/>
        <w:spacing w:lineRule="auto" w:line="259"/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rFonts w:ascii="Times New Roman" w:eastAsia="Times New Roman" w:hAnsi="Times New Roman" w:cs="Times New Roman"/>
        </w:rPr>
        <w:t xml:space="preserve">Екскурсія до музею “Київська картинна галерея”</w:t>
      </w:r>
    </w:p>
    <w:p>
      <w:pPr>
        <w:jc w:val="both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thick"/>
          <w:rFonts w:ascii="Times New Roman" w:eastAsia="Times New Roman" w:hAnsi="Times New Roman" w:cs="Times New Roman"/>
        </w:rPr>
        <w:t>Мета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: ознайомити з історією створення та експозиціями картинної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галереї, розвити інтерес до мистецтва. Формування естетичного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сприйняття творів мистецтва .</w:t>
      </w:r>
    </w:p>
    <w:p>
      <w:pPr>
        <w:jc w:val="both"/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thick"/>
          <w:rFonts w:ascii="Times New Roman" w:eastAsia="Times New Roman" w:hAnsi="Times New Roman" w:cs="Times New Roman"/>
        </w:rPr>
        <w:t xml:space="preserve">Елементи доступності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: адаптовані автобуси, сурдопереклад, пандуси 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поручні, туалетні кабінки з урахуванням потреб маломобільних груп,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програмне забезпечення для незрячих. 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thick"/>
          <w:rFonts w:ascii="Times New Roman" w:eastAsia="Times New Roman" w:hAnsi="Times New Roman" w:cs="Times New Roman"/>
        </w:rPr>
        <w:t xml:space="preserve">Час екскурсії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: 1,5 години.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thick"/>
          <w:rFonts w:ascii="Times New Roman" w:eastAsia="Times New Roman" w:hAnsi="Times New Roman" w:cs="Times New Roman"/>
        </w:rPr>
        <w:t>Маршрут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: вулиця Інституцька ~ поворот у напрямку до ал. Героїв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Небесної Сотні ~ вул. Шовковична ~ поворот до вул. Лютеранської ~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крутий узвіз ~ прибуття на вул. Терещенківська “Київська картинна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галерея” 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 цій екскурсії використовується авто-бус туристського плану, який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підлаштований для людей з особливими потребами. Також,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екскурсовод обов’язково проводить інструктаж по правилам безпеки,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про наявність засобів технічного оснащення. В разі, якщо турист не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може самостійно скористатися будь-яким оснащенням , його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інформують про те, що він може звернутися за допомогою до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супроводжуваючого або до екскурсовода. 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Всі екскурсанти збираються біля готелю “Україна” , займають місця в </w:t>
      </w: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автобусі, слухають інструктаж по правилам безпеки, про аптечку.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Людям з особливим графіком харчування дозволяється взяти з собою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>їжу.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Автобус рушає по вулиці Інституцькій , екскурсовод розповідає про </w:t>
      </w: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історію вулиці: 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>“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Вулиця виникла на початку XIX століття вздовж давнього, відомого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від часів Київської Русі, Іванівського шляху. На початку XIX століття,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у зв'язку з забудовою місцевості, вулицю назвали Іванівською.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У 1820-ті роки і до 1842 називалася Бегічевська вулиця, за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прізвищем генерала Дмитра Бегічева, власника садиби в цьому районі.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 1842 року — Інститутська вулиця, назва походить від збудованого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на вулиці в 1838–1842 роках Інституту шляхетних дівчат (згодом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Жовтневий палац, тепер у його приміщенні — Міжнародний центр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культури і мистецтв Федерації профспілок України). Побутувала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також паралельна неофіційна назва — Дівоча вулиця.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 1919 року мала назву вулиця 25 Жовтня, на честь дати Жовтневої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революції 1917 року.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Під час німецької окупації міста в 1942–1943 роках —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Берлінерштрасе (нім. Berliner Str., укр. Берлінська) та Інститутська.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 1944 року — вулиця Жовтневої революції. Сучасну історичну назву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вулиці було відновлено 1993 року.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Особливо відомою вулиця стала під час подій Євромайдану 18–20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лютого, коли на ній відбулися масові розстріли мирних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протестувальників. З того часу вулицю інколи неофіційно називали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вулицею Героїв Небесної сотні (до моменту виокремлення алеї Героїв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Небесної Сотні.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23 лютого 2014 року у Верховній Раді України зареєстровано проект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постанови щодо перейменування вулиці на вулицю Героїв Небесної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сотні на честь загиблих учасників Євромайдану. Вздовж вулиці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з'явилися пам'ятні знаки на честь загиблих героїв Євромайдану. У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серпні 2014 року Київська міська державна адміністрація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започаткувала громадське обговорення щодо перейменування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Інститутської вулиці на вулицю Героїв Небесної Сотні.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20 листопада 2014 року депутати Київської міської ради ухвалили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рішення щодо перейменування частини вулиці від Майдану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Незалежності до Ольгинської вулиці на алею Героїв Небесної Сотні.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Перейменована була саме та частина вулиці, де 20 лютого 2014 року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відбулися наймасовіші вбивства мітингувальників.”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Прибуття до  музею “Київська картинна галерея”.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 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Час на відвідування кімнати гігієни.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 музеї створені умови для вільного переміщення (мобільні пандуси) ,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послуги супроводження , сурдоперекладач, інформація написана </w:t>
      </w:r>
      <w:r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шрифтом Брайля.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Екскурсія картинною галереєю. 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“Музей засновано у 1917 році, відкрився 12 листопада 1922 року під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опікою Всеукраїнської академії наук під назвою Київська картинна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галерея. Основу музейного фонду склали художні колекції київських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промисловців та меценатів Терещенків.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Відомі історичні назви: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Київська картинна галерея (з 1922)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Національна картинна галерея (початок 1930-х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Київський державний музей російського мистецтва (з 1936)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Музей російського мистецтва імені Рєпіна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Київський національний музей російського мистецтва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Первинна експозиція галереї складалась із близько 200 творів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мистецтва, а станом на 1928 рік вже налічувала близько 300 творів.</w:t>
      </w: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p>
      <w:pPr>
        <w:jc w:val="both"/>
        <w:spacing w:lineRule="auto" w:line="259"/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Зараз Київська національна картинна галерея володіє зразками робіт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багатьох художників, серед яких — Брюллов Карл Павлович,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Левицький Дмитро Григорович, Шишкін Іван Іванович, Ґе Микола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Миколайович, Врубель Михайло Олександрович, Левітан Ісаак Ілліч,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Нестеров Михайло Васильович, Рєпін Ілля Юхимович, Сєров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Валентин Олександрович, Верещагін Василь Васильович,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Антокольський Марко Матвійович, Саврасов Олексій Кіндратович, </w:t>
      </w:r>
      <w:r>
        <w:rPr>
          <w:b w:val="0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Коровін Костянтин Олексійович.”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Огляд картин та інших експонатів.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Завешення екскурсії.</w:t>
      </w:r>
    </w:p>
    <w:p>
      <w:pPr>
        <w:jc w:val="both"/>
        <w:spacing w:lineRule="auto" w:line="259"/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none"/>
          <w:rFonts w:ascii="Times New Roman" w:eastAsia="Times New Roman" w:hAnsi="Times New Roman" w:cs="Times New Roman"/>
        </w:rPr>
        <w:t xml:space="preserve">Трансфер до готелю.</w:t>
      </w:r>
    </w:p>
    <w:p>
      <w:pPr>
        <w:jc w:val="both"/>
        <w:spacing w:lineRule="auto" w:line="259"/>
        <w:rPr>
          <w:color w:val="auto"/>
          <w:sz w:val="28"/>
          <w:szCs w:val="28"/>
          <w:u w:val="none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636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Тромса Олександр</dc:creator>
  <cp:lastModifiedBy/>
</cp:coreProperties>
</file>