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F" w:rsidRPr="00567BCF" w:rsidRDefault="00567BCF" w:rsidP="00567BCF">
      <w:pPr>
        <w:spacing w:after="0"/>
        <w:ind w:right="5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proofErr w:type="spellStart"/>
      <w:r w:rsidRPr="00567BCF">
        <w:rPr>
          <w:rFonts w:ascii="Times New Roman" w:hAnsi="Times New Roman" w:cs="Times New Roman"/>
          <w:b/>
          <w:sz w:val="32"/>
          <w:szCs w:val="32"/>
          <w:lang w:val="ru-RU"/>
        </w:rPr>
        <w:t>Політико-правові</w:t>
      </w:r>
      <w:proofErr w:type="spellEnd"/>
      <w:r w:rsidRPr="00567BC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погляди Шарля-</w:t>
      </w:r>
      <w:proofErr w:type="spellStart"/>
      <w:r w:rsidRPr="00567BCF">
        <w:rPr>
          <w:rFonts w:ascii="Times New Roman" w:hAnsi="Times New Roman" w:cs="Times New Roman"/>
          <w:b/>
          <w:sz w:val="32"/>
          <w:szCs w:val="32"/>
          <w:lang w:val="ru-RU"/>
        </w:rPr>
        <w:t>Луї</w:t>
      </w:r>
      <w:proofErr w:type="spellEnd"/>
      <w:r w:rsidRPr="00567BC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67BCF">
        <w:rPr>
          <w:rFonts w:ascii="Times New Roman" w:hAnsi="Times New Roman" w:cs="Times New Roman"/>
          <w:b/>
          <w:sz w:val="32"/>
          <w:szCs w:val="32"/>
          <w:lang w:val="ru-RU"/>
        </w:rPr>
        <w:t>Монтеск</w:t>
      </w:r>
      <w:proofErr w:type="spellEnd"/>
      <w:r w:rsidRPr="00567BCF">
        <w:rPr>
          <w:rFonts w:ascii="Times New Roman" w:hAnsi="Times New Roman" w:cs="Times New Roman"/>
          <w:b/>
          <w:sz w:val="32"/>
          <w:szCs w:val="32"/>
          <w:lang w:val="ru-RU"/>
        </w:rPr>
        <w:t>’</w:t>
      </w:r>
      <w:r w:rsidRPr="00567BCF">
        <w:rPr>
          <w:rFonts w:ascii="Times New Roman" w:hAnsi="Times New Roman" w:cs="Times New Roman"/>
          <w:b/>
          <w:sz w:val="32"/>
          <w:szCs w:val="32"/>
          <w:lang w:val="uk-UA"/>
        </w:rPr>
        <w:t>є</w:t>
      </w:r>
    </w:p>
    <w:bookmarkEnd w:id="0"/>
    <w:p w:rsidR="00B47792" w:rsidRPr="00FB640F" w:rsidRDefault="00435C4E" w:rsidP="001179C1">
      <w:pPr>
        <w:spacing w:after="0"/>
        <w:ind w:right="57"/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</w:pPr>
      <w:r w:rsidRPr="00FB640F"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  <w:t xml:space="preserve">Дух </w:t>
      </w:r>
      <w:proofErr w:type="spellStart"/>
      <w:r w:rsidRPr="00FB640F"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  <w:t>законів</w:t>
      </w:r>
      <w:proofErr w:type="spellEnd"/>
      <w:r w:rsidRPr="00FB640F"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  <w:t xml:space="preserve"> </w:t>
      </w:r>
    </w:p>
    <w:p w:rsidR="00435C4E" w:rsidRDefault="00435C4E" w:rsidP="001179C1">
      <w:pPr>
        <w:spacing w:after="0"/>
        <w:ind w:right="57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Важливе місце у філософсько-правовій сисемі Монтескє займає вчення про «дух законів». Її сутність полягає в наступному:</w:t>
      </w:r>
    </w:p>
    <w:p w:rsidR="00435C4E" w:rsidRDefault="00435C4E" w:rsidP="001179C1">
      <w:pPr>
        <w:spacing w:after="0"/>
        <w:ind w:right="57"/>
        <w:rPr>
          <w:rFonts w:ascii="Times New Roman" w:hAnsi="Times New Roman" w:cs="Times New Roman"/>
          <w:sz w:val="21"/>
          <w:szCs w:val="21"/>
          <w:lang w:val="ru-RU"/>
        </w:rPr>
      </w:pPr>
      <w:r w:rsidRPr="00435C4E">
        <w:rPr>
          <w:rFonts w:ascii="Times New Roman" w:hAnsi="Times New Roman" w:cs="Times New Roman"/>
          <w:sz w:val="21"/>
          <w:szCs w:val="21"/>
          <w:lang w:val="ru-RU"/>
        </w:rPr>
        <w:t xml:space="preserve">Закон у чистому вигляді – це людський </w:t>
      </w:r>
      <w:r>
        <w:rPr>
          <w:rFonts w:ascii="Times New Roman" w:hAnsi="Times New Roman" w:cs="Times New Roman"/>
          <w:sz w:val="21"/>
          <w:szCs w:val="21"/>
          <w:lang w:val="ru-RU"/>
        </w:rPr>
        <w:t>розум, який керує вчинками людини.</w:t>
      </w:r>
    </w:p>
    <w:p w:rsidR="00435C4E" w:rsidRDefault="00713E5D" w:rsidP="001179C1">
      <w:pPr>
        <w:spacing w:after="0"/>
        <w:ind w:right="57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Усі системи позитивного права є окремими випадками загального «закону-розуму».</w:t>
      </w:r>
    </w:p>
    <w:p w:rsidR="00E21181" w:rsidRDefault="00713E5D" w:rsidP="001179C1">
      <w:pPr>
        <w:spacing w:after="0"/>
        <w:ind w:right="57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Відмінність між правовими системами окремих держав пояснюються низкою обєктивних факторів:</w:t>
      </w:r>
      <w:r w:rsidR="00E21181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22090C">
        <w:rPr>
          <w:rFonts w:ascii="Times New Roman" w:hAnsi="Times New Roman" w:cs="Times New Roman"/>
          <w:sz w:val="21"/>
          <w:szCs w:val="21"/>
          <w:lang w:val="ru-RU"/>
        </w:rPr>
        <w:t>природного</w:t>
      </w:r>
      <w:r w:rsidR="00E21181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>
        <w:rPr>
          <w:rFonts w:ascii="Times New Roman" w:hAnsi="Times New Roman" w:cs="Times New Roman"/>
          <w:sz w:val="21"/>
          <w:szCs w:val="21"/>
          <w:lang w:val="ru-RU"/>
        </w:rPr>
        <w:t>розмір та географічне розташуваня, клімат, природні ресурси</w:t>
      </w:r>
      <w:r w:rsidR="00E21181">
        <w:rPr>
          <w:rFonts w:ascii="Times New Roman" w:hAnsi="Times New Roman" w:cs="Times New Roman"/>
          <w:sz w:val="21"/>
          <w:szCs w:val="21"/>
          <w:lang w:val="ru-RU"/>
        </w:rPr>
        <w:t>), а також соціокультурного характеру (</w:t>
      </w:r>
      <w:r>
        <w:rPr>
          <w:rFonts w:ascii="Times New Roman" w:hAnsi="Times New Roman" w:cs="Times New Roman"/>
          <w:sz w:val="21"/>
          <w:szCs w:val="21"/>
          <w:lang w:val="ru-RU"/>
        </w:rPr>
        <w:t>звичаї</w:t>
      </w:r>
      <w:r w:rsidR="00E21181">
        <w:rPr>
          <w:rFonts w:ascii="Times New Roman" w:hAnsi="Times New Roman" w:cs="Times New Roman"/>
          <w:sz w:val="21"/>
          <w:szCs w:val="21"/>
          <w:lang w:val="ru-RU"/>
        </w:rPr>
        <w:t xml:space="preserve">, релігія, </w:t>
      </w:r>
      <w:r>
        <w:rPr>
          <w:rFonts w:ascii="Times New Roman" w:hAnsi="Times New Roman" w:cs="Times New Roman"/>
          <w:sz w:val="21"/>
          <w:szCs w:val="21"/>
          <w:lang w:val="ru-RU"/>
        </w:rPr>
        <w:t>спосіб життя</w:t>
      </w:r>
      <w:r w:rsidR="00E21181">
        <w:rPr>
          <w:rFonts w:ascii="Times New Roman" w:hAnsi="Times New Roman" w:cs="Times New Roman"/>
          <w:sz w:val="21"/>
          <w:szCs w:val="21"/>
          <w:lang w:val="ru-RU"/>
        </w:rPr>
        <w:t>)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E21181">
        <w:rPr>
          <w:rFonts w:ascii="Times New Roman" w:hAnsi="Times New Roman" w:cs="Times New Roman"/>
          <w:sz w:val="21"/>
          <w:szCs w:val="21"/>
          <w:lang w:val="ru-RU"/>
        </w:rPr>
        <w:t xml:space="preserve"> Дані фактори формують так званий «дух народу» - тобто систему характерних рис відповідної нації.</w:t>
      </w:r>
    </w:p>
    <w:p w:rsidR="00E21181" w:rsidRDefault="00E21181" w:rsidP="001179C1">
      <w:pPr>
        <w:spacing w:after="0"/>
        <w:ind w:right="57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Дух народу у юридичній площині визначає </w:t>
      </w:r>
      <w:r w:rsidR="008D790C">
        <w:rPr>
          <w:rFonts w:ascii="Times New Roman" w:hAnsi="Times New Roman" w:cs="Times New Roman"/>
          <w:sz w:val="21"/>
          <w:szCs w:val="21"/>
          <w:lang w:val="ru-RU"/>
        </w:rPr>
        <w:t>специфічні риси національної правової системи – «</w:t>
      </w:r>
      <w:r>
        <w:rPr>
          <w:rFonts w:ascii="Times New Roman" w:hAnsi="Times New Roman" w:cs="Times New Roman"/>
          <w:sz w:val="21"/>
          <w:szCs w:val="21"/>
          <w:lang w:val="ru-RU"/>
        </w:rPr>
        <w:t>Дух законів».</w:t>
      </w:r>
    </w:p>
    <w:p w:rsidR="00713E5D" w:rsidRDefault="001179C1" w:rsidP="001179C1">
      <w:pPr>
        <w:spacing w:after="0"/>
        <w:ind w:right="57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noProof/>
          <w:sz w:val="21"/>
          <w:szCs w:val="21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20320</wp:posOffset>
            </wp:positionV>
            <wp:extent cx="2355850" cy="2286635"/>
            <wp:effectExtent l="57150" t="57150" r="254000" b="0"/>
            <wp:wrapSquare wrapText="bothSides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E21181">
        <w:rPr>
          <w:rFonts w:ascii="Times New Roman" w:hAnsi="Times New Roman" w:cs="Times New Roman"/>
          <w:sz w:val="21"/>
          <w:szCs w:val="21"/>
          <w:lang w:val="ru-RU"/>
        </w:rPr>
        <w:t>Дух законів – це</w:t>
      </w:r>
      <w:r w:rsidR="008D790C">
        <w:rPr>
          <w:rFonts w:ascii="Times New Roman" w:hAnsi="Times New Roman" w:cs="Times New Roman"/>
          <w:sz w:val="21"/>
          <w:szCs w:val="21"/>
          <w:lang w:val="ru-RU"/>
        </w:rPr>
        <w:t xml:space="preserve"> внутрішні закономірності змісту та будови правової системи. Дух законів з одного боку  відображає розумний почато</w:t>
      </w:r>
      <w:r w:rsidR="0095245F">
        <w:rPr>
          <w:rFonts w:ascii="Times New Roman" w:hAnsi="Times New Roman" w:cs="Times New Roman"/>
          <w:sz w:val="21"/>
          <w:szCs w:val="21"/>
          <w:lang w:val="ru-RU"/>
        </w:rPr>
        <w:t xml:space="preserve">к права, а з іншого характерні риси політичної нації (дух народу). </w:t>
      </w:r>
    </w:p>
    <w:p w:rsidR="0095245F" w:rsidRDefault="0095245F" w:rsidP="001179C1">
      <w:pPr>
        <w:spacing w:after="0"/>
        <w:ind w:right="57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Дух окремого законодавчого акту також</w:t>
      </w:r>
      <w:r w:rsidR="00EE2458">
        <w:rPr>
          <w:rFonts w:ascii="Times New Roman" w:hAnsi="Times New Roman" w:cs="Times New Roman"/>
          <w:sz w:val="21"/>
          <w:szCs w:val="21"/>
          <w:lang w:val="ru-RU"/>
        </w:rPr>
        <w:t xml:space="preserve"> необхідно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відображає </w:t>
      </w:r>
      <w:r w:rsidR="00EE2458">
        <w:rPr>
          <w:rFonts w:ascii="Times New Roman" w:hAnsi="Times New Roman" w:cs="Times New Roman"/>
          <w:sz w:val="21"/>
          <w:szCs w:val="21"/>
          <w:lang w:val="ru-RU"/>
        </w:rPr>
        <w:t>обставини його прийняття, мету законодавця, місце у правовій системі тощо.</w:t>
      </w:r>
    </w:p>
    <w:p w:rsidR="00EE2458" w:rsidRDefault="00EE2458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Дух законів – невідємна складова правової системи, яку необхідно враховувати </w:t>
      </w:r>
      <w:r w:rsidR="0022090C">
        <w:rPr>
          <w:rFonts w:ascii="Times New Roman" w:hAnsi="Times New Roman" w:cs="Times New Roman"/>
          <w:sz w:val="21"/>
          <w:szCs w:val="21"/>
          <w:lang w:val="ru-RU"/>
        </w:rPr>
        <w:t>в правотворчій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діяльності, правозастосовчій практиці та вінших випадках тлумачення правових норм.</w:t>
      </w:r>
    </w:p>
    <w:p w:rsidR="00EE2458" w:rsidRDefault="00567BCF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6.65pt;margin-top:23.45pt;width:185.55pt;height:21.5pt;z-index:251660288;mso-position-horizontal-relative:text;mso-position-vertical-relative:text" stroked="f">
            <v:textbox style="mso-fit-shape-to-text:t" inset="0,0,0,0">
              <w:txbxContent>
                <w:p w:rsidR="001179C1" w:rsidRPr="001179C1" w:rsidRDefault="001179C1" w:rsidP="001179C1">
                  <w:pPr>
                    <w:pStyle w:val="a7"/>
                    <w:jc w:val="center"/>
                    <w:rPr>
                      <w:rFonts w:ascii="Times New Roman" w:hAnsi="Times New Roman" w:cs="Times New Roman"/>
                      <w:b w:val="0"/>
                      <w:i/>
                      <w:noProof/>
                      <w:color w:val="auto"/>
                      <w:sz w:val="20"/>
                      <w:szCs w:val="20"/>
                    </w:rPr>
                  </w:pPr>
                  <w:r w:rsidRPr="001179C1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0"/>
                      <w:szCs w:val="20"/>
                      <w:lang w:val="uk-UA"/>
                    </w:rPr>
                    <w:t>Фактори формування духу народу</w:t>
                  </w:r>
                </w:p>
              </w:txbxContent>
            </v:textbox>
            <w10:wrap type="square"/>
          </v:shape>
        </w:pict>
      </w:r>
      <w:r w:rsidR="00EE2458">
        <w:rPr>
          <w:rFonts w:ascii="Times New Roman" w:hAnsi="Times New Roman" w:cs="Times New Roman"/>
          <w:sz w:val="21"/>
          <w:szCs w:val="21"/>
          <w:lang w:val="ru-RU"/>
        </w:rPr>
        <w:t>Вчення про дух народу та дух законів справило визначальний вплив на формування історичної школи права</w:t>
      </w:r>
      <w:r w:rsidR="001179C1">
        <w:rPr>
          <w:rFonts w:ascii="Times New Roman" w:hAnsi="Times New Roman" w:cs="Times New Roman"/>
          <w:sz w:val="21"/>
          <w:szCs w:val="21"/>
          <w:lang w:val="ru-RU"/>
        </w:rPr>
        <w:t>.</w:t>
      </w:r>
      <w:r w:rsidR="00EE2458">
        <w:rPr>
          <w:rFonts w:ascii="Times New Roman" w:hAnsi="Times New Roman" w:cs="Times New Roman"/>
          <w:sz w:val="21"/>
          <w:szCs w:val="21"/>
          <w:lang w:val="ru-RU"/>
        </w:rPr>
        <w:t xml:space="preserve"> (</w:t>
      </w:r>
      <w:r w:rsidR="00EE2458" w:rsidRPr="001179C1">
        <w:rPr>
          <w:rFonts w:ascii="Times New Roman" w:hAnsi="Times New Roman" w:cs="Times New Roman"/>
          <w:sz w:val="21"/>
          <w:szCs w:val="21"/>
          <w:highlight w:val="yellow"/>
          <w:lang w:val="ru-RU"/>
        </w:rPr>
        <w:t>див. Стор....)</w:t>
      </w:r>
      <w:r w:rsidR="00EE2458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1179C1" w:rsidRDefault="001179C1" w:rsidP="001179C1">
      <w:pPr>
        <w:spacing w:after="0"/>
        <w:ind w:right="57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</w:pPr>
    </w:p>
    <w:p w:rsidR="00EE2458" w:rsidRPr="004D0568" w:rsidRDefault="00FB640F" w:rsidP="001179C1">
      <w:pPr>
        <w:spacing w:after="0"/>
        <w:ind w:right="57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</w:pPr>
      <w:r w:rsidRPr="004D0568"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  <w:t>Законодавча техніка</w:t>
      </w:r>
      <w:r w:rsidR="0003232A"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  <w:t xml:space="preserve"> та судочинство</w:t>
      </w:r>
    </w:p>
    <w:p w:rsidR="00FB640F" w:rsidRDefault="0003232A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На думку Монтескє, правотворча діяльність має спиратися на дух законів та принцип поміркованості.</w:t>
      </w:r>
    </w:p>
    <w:p w:rsidR="00FB640F" w:rsidRDefault="0055126B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Крім того, існує  низка технічних критеріїв, яким має відповідати законодавчий акт:</w:t>
      </w:r>
    </w:p>
    <w:p w:rsidR="0055126B" w:rsidRDefault="0055126B" w:rsidP="001179C1">
      <w:pPr>
        <w:pStyle w:val="a6"/>
        <w:numPr>
          <w:ilvl w:val="0"/>
          <w:numId w:val="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Текст законів має бути стислим і простим;</w:t>
      </w:r>
    </w:p>
    <w:p w:rsidR="0055126B" w:rsidRDefault="0055126B" w:rsidP="001179C1">
      <w:pPr>
        <w:pStyle w:val="a6"/>
        <w:numPr>
          <w:ilvl w:val="0"/>
          <w:numId w:val="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Терміни мають бути однозначними;</w:t>
      </w:r>
    </w:p>
    <w:p w:rsidR="0055126B" w:rsidRDefault="0055126B" w:rsidP="001179C1">
      <w:pPr>
        <w:pStyle w:val="a6"/>
        <w:numPr>
          <w:ilvl w:val="0"/>
          <w:numId w:val="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Закон не повинен містити «тонкощів» та бути зрозумілим для пересічного громадянина;</w:t>
      </w:r>
    </w:p>
    <w:p w:rsidR="0055126B" w:rsidRDefault="0055126B" w:rsidP="001179C1">
      <w:pPr>
        <w:pStyle w:val="a6"/>
        <w:numPr>
          <w:ilvl w:val="0"/>
          <w:numId w:val="1"/>
        </w:numPr>
        <w:spacing w:after="0"/>
        <w:ind w:left="0" w:right="57" w:firstLine="426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Необхідно по можливості уникати виключень із загального правила поведінки;</w:t>
      </w:r>
    </w:p>
    <w:p w:rsidR="0055126B" w:rsidRDefault="0055126B" w:rsidP="001179C1">
      <w:pPr>
        <w:pStyle w:val="a6"/>
        <w:numPr>
          <w:ilvl w:val="0"/>
          <w:numId w:val="1"/>
        </w:numPr>
        <w:spacing w:after="0"/>
        <w:ind w:left="0"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Закон має містити тільки необхідні заборони. </w:t>
      </w:r>
    </w:p>
    <w:p w:rsidR="0055126B" w:rsidRDefault="0055126B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55126B">
        <w:rPr>
          <w:rFonts w:ascii="Times New Roman" w:hAnsi="Times New Roman" w:cs="Times New Roman"/>
          <w:sz w:val="21"/>
          <w:szCs w:val="21"/>
          <w:lang w:val="ru-RU"/>
        </w:rPr>
        <w:t>удов</w:t>
      </w:r>
      <w:r>
        <w:rPr>
          <w:rFonts w:ascii="Times New Roman" w:hAnsi="Times New Roman" w:cs="Times New Roman"/>
          <w:sz w:val="21"/>
          <w:szCs w:val="21"/>
          <w:lang w:val="ru-RU"/>
        </w:rPr>
        <w:t>і</w:t>
      </w:r>
      <w:r w:rsidRPr="0055126B">
        <w:rPr>
          <w:rFonts w:ascii="Times New Roman" w:hAnsi="Times New Roman" w:cs="Times New Roman"/>
          <w:sz w:val="21"/>
          <w:szCs w:val="21"/>
          <w:lang w:val="ru-RU"/>
        </w:rPr>
        <w:t xml:space="preserve"> процедур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и мають </w:t>
      </w:r>
      <w:r w:rsidR="000D7024">
        <w:rPr>
          <w:rFonts w:ascii="Times New Roman" w:hAnsi="Times New Roman" w:cs="Times New Roman"/>
          <w:sz w:val="21"/>
          <w:szCs w:val="21"/>
          <w:lang w:val="ru-RU"/>
        </w:rPr>
        <w:t>важливе значення для забезпечення громадянської та політичної свободи.</w:t>
      </w:r>
    </w:p>
    <w:p w:rsidR="000D7024" w:rsidRDefault="000D7024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Процесуальне закнодавство має бути детально виписаним. </w:t>
      </w:r>
    </w:p>
    <w:p w:rsidR="000D7024" w:rsidRPr="0055126B" w:rsidRDefault="000D7024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Судові процедури мають відповідати меті закону і сприяти його реалізацію, а не створювати додаткові барєри для реалізації прав особи.</w:t>
      </w:r>
    </w:p>
    <w:p w:rsidR="001179C1" w:rsidRDefault="001179C1" w:rsidP="001179C1">
      <w:pPr>
        <w:spacing w:after="0"/>
        <w:ind w:right="57"/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</w:pPr>
    </w:p>
    <w:p w:rsidR="0095245F" w:rsidRPr="00FB640F" w:rsidRDefault="00DA5E9F" w:rsidP="001179C1">
      <w:pPr>
        <w:spacing w:after="0"/>
        <w:ind w:right="57"/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</w:pPr>
      <w:r w:rsidRPr="00FB640F"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  <w:t>Держава та політична система</w:t>
      </w:r>
    </w:p>
    <w:p w:rsidR="00DA5E9F" w:rsidRDefault="00DA5E9F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Дух народу визначає не лише особливості правової системи, але і форму держави та політичного режиму.</w:t>
      </w:r>
    </w:p>
    <w:p w:rsidR="00DA5E9F" w:rsidRDefault="00DA5E9F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Монтескє розрізняє три форми правління: республіка (демократична або аристократична), монархія та деспотія.</w:t>
      </w:r>
    </w:p>
    <w:p w:rsidR="00F843EA" w:rsidRDefault="00F843EA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Виникнення у різних народів різних форм правління у значній мірі пояснюється географічними факторами.</w:t>
      </w:r>
    </w:p>
    <w:p w:rsidR="00DA5E9F" w:rsidRDefault="00FB640F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Кожній із форм правління відповідає специфіна ієрархі нормативних актів та певний загальний керівний</w:t>
      </w:r>
      <w:r w:rsidR="00DA5E9F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ru-RU"/>
        </w:rPr>
        <w:t>принцип, який призводить рух механізму людських</w:t>
      </w:r>
      <w:r w:rsidR="00F843EA">
        <w:rPr>
          <w:rFonts w:ascii="Times New Roman" w:hAnsi="Times New Roman" w:cs="Times New Roman"/>
          <w:sz w:val="21"/>
          <w:szCs w:val="21"/>
          <w:lang w:val="ru-RU"/>
        </w:rPr>
        <w:t xml:space="preserve"> пристрастей у політичній сфері.</w:t>
      </w:r>
    </w:p>
    <w:p w:rsidR="00F843EA" w:rsidRDefault="00F843EA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1179C1" w:rsidRPr="00F843EA" w:rsidRDefault="00F843EA" w:rsidP="001179C1">
      <w:pPr>
        <w:spacing w:after="0"/>
        <w:ind w:right="57"/>
        <w:jc w:val="both"/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F843EA">
        <w:rPr>
          <w:rFonts w:ascii="Times New Roman" w:hAnsi="Times New Roman" w:cs="Times New Roman"/>
          <w:i/>
          <w:sz w:val="21"/>
          <w:szCs w:val="21"/>
          <w:lang w:val="ru-RU"/>
        </w:rPr>
        <w:lastRenderedPageBreak/>
        <w:t>Класифікація та характеристика форм правління за теорією Монтескє.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276"/>
        <w:gridCol w:w="1985"/>
        <w:gridCol w:w="1559"/>
      </w:tblGrid>
      <w:tr w:rsidR="008C75DF" w:rsidRPr="004D0568" w:rsidTr="008C75DF">
        <w:tc>
          <w:tcPr>
            <w:tcW w:w="1951" w:type="dxa"/>
            <w:gridSpan w:val="2"/>
          </w:tcPr>
          <w:p w:rsidR="00DB244B" w:rsidRPr="004D0568" w:rsidRDefault="00DB244B" w:rsidP="001179C1">
            <w:pPr>
              <w:ind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D0568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Форма правління</w:t>
            </w:r>
          </w:p>
        </w:tc>
        <w:tc>
          <w:tcPr>
            <w:tcW w:w="2126" w:type="dxa"/>
          </w:tcPr>
          <w:p w:rsidR="00DB244B" w:rsidRPr="004D0568" w:rsidRDefault="00DB244B" w:rsidP="001179C1">
            <w:pPr>
              <w:ind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D0568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Характеристика</w:t>
            </w:r>
          </w:p>
        </w:tc>
        <w:tc>
          <w:tcPr>
            <w:tcW w:w="1276" w:type="dxa"/>
          </w:tcPr>
          <w:p w:rsidR="00DB244B" w:rsidRPr="004D0568" w:rsidRDefault="00DB244B" w:rsidP="001179C1">
            <w:pPr>
              <w:ind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D0568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Принцип правління</w:t>
            </w:r>
          </w:p>
        </w:tc>
        <w:tc>
          <w:tcPr>
            <w:tcW w:w="1985" w:type="dxa"/>
          </w:tcPr>
          <w:p w:rsidR="00DB244B" w:rsidRPr="004D0568" w:rsidRDefault="00DB244B" w:rsidP="001179C1">
            <w:pPr>
              <w:ind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D0568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Особливості правової системи</w:t>
            </w:r>
          </w:p>
        </w:tc>
        <w:tc>
          <w:tcPr>
            <w:tcW w:w="1559" w:type="dxa"/>
          </w:tcPr>
          <w:p w:rsidR="00DB244B" w:rsidRPr="004D0568" w:rsidRDefault="00DB244B" w:rsidP="00DB244B">
            <w:pPr>
              <w:ind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Географічі передумови виникнення</w:t>
            </w:r>
          </w:p>
        </w:tc>
      </w:tr>
      <w:tr w:rsidR="008C75DF" w:rsidRPr="00567BCF" w:rsidTr="008C75DF">
        <w:tc>
          <w:tcPr>
            <w:tcW w:w="534" w:type="dxa"/>
            <w:vMerge w:val="restart"/>
            <w:textDirection w:val="btLr"/>
          </w:tcPr>
          <w:p w:rsidR="00DB244B" w:rsidRPr="004D0568" w:rsidRDefault="00DB244B" w:rsidP="008C75DF">
            <w:pPr>
              <w:ind w:left="113" w:right="57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4D0568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Республіка</w:t>
            </w:r>
          </w:p>
        </w:tc>
        <w:tc>
          <w:tcPr>
            <w:tcW w:w="1417" w:type="dxa"/>
          </w:tcPr>
          <w:p w:rsidR="00DB244B" w:rsidRPr="004D0568" w:rsidRDefault="00DB244B" w:rsidP="001179C1">
            <w:pPr>
              <w:ind w:right="57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4D0568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Демократія</w:t>
            </w:r>
          </w:p>
        </w:tc>
        <w:tc>
          <w:tcPr>
            <w:tcW w:w="2126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Правління народу у межах правової системи.</w:t>
            </w:r>
          </w:p>
        </w:tc>
        <w:tc>
          <w:tcPr>
            <w:tcW w:w="1276" w:type="dxa"/>
            <w:vMerge w:val="restart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Чеснота</w:t>
            </w:r>
          </w:p>
        </w:tc>
        <w:tc>
          <w:tcPr>
            <w:tcW w:w="1985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Закони, які визначають право голосування та народного контролю за обраними представниками влади.</w:t>
            </w:r>
          </w:p>
        </w:tc>
        <w:tc>
          <w:tcPr>
            <w:tcW w:w="1559" w:type="dxa"/>
            <w:vMerge w:val="restart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Невелика територія</w:t>
            </w:r>
            <w:r w:rsidR="008C75D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, не родючі землі.</w:t>
            </w:r>
          </w:p>
        </w:tc>
      </w:tr>
      <w:tr w:rsidR="008C75DF" w:rsidRPr="00567BCF" w:rsidTr="008C75DF">
        <w:tc>
          <w:tcPr>
            <w:tcW w:w="534" w:type="dxa"/>
            <w:vMerge/>
          </w:tcPr>
          <w:p w:rsidR="00DB244B" w:rsidRPr="004D0568" w:rsidRDefault="00DB244B" w:rsidP="001179C1">
            <w:pPr>
              <w:ind w:right="57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</w:tcPr>
          <w:p w:rsidR="00DB244B" w:rsidRPr="004D0568" w:rsidRDefault="00DB244B" w:rsidP="001179C1">
            <w:pPr>
              <w:ind w:right="57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r w:rsidRPr="004D0568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Аристокра</w:t>
            </w:r>
            <w:r w:rsidR="008C75DF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-</w:t>
            </w:r>
            <w:r w:rsidRPr="004D0568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тія</w:t>
            </w:r>
          </w:p>
        </w:tc>
        <w:tc>
          <w:tcPr>
            <w:tcW w:w="2126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Правлвння привілейованої частини народу у правових межах.</w:t>
            </w:r>
          </w:p>
        </w:tc>
        <w:tc>
          <w:tcPr>
            <w:tcW w:w="1276" w:type="dxa"/>
            <w:vMerge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Закони, які визначають право частини народу реалізовувати владу</w:t>
            </w:r>
          </w:p>
        </w:tc>
        <w:tc>
          <w:tcPr>
            <w:tcW w:w="1559" w:type="dxa"/>
            <w:vMerge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8C75DF" w:rsidRPr="00567BCF" w:rsidTr="008C75DF">
        <w:tc>
          <w:tcPr>
            <w:tcW w:w="1951" w:type="dxa"/>
            <w:gridSpan w:val="2"/>
          </w:tcPr>
          <w:p w:rsidR="00DB244B" w:rsidRPr="004D0568" w:rsidRDefault="00DB244B" w:rsidP="001179C1">
            <w:pPr>
              <w:ind w:right="57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proofErr w:type="spellStart"/>
            <w:r w:rsidRPr="004D0568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Монархія</w:t>
            </w:r>
            <w:proofErr w:type="spellEnd"/>
          </w:p>
        </w:tc>
        <w:tc>
          <w:tcPr>
            <w:tcW w:w="2126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Правління однієї особи в межах чітко встановлених законів.</w:t>
            </w:r>
          </w:p>
        </w:tc>
        <w:tc>
          <w:tcPr>
            <w:tcW w:w="1276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Честь</w:t>
            </w:r>
          </w:p>
        </w:tc>
        <w:tc>
          <w:tcPr>
            <w:tcW w:w="1985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Закони, які визначають організацію «каналів реалізації влади», владну ієрархію*</w:t>
            </w:r>
          </w:p>
        </w:tc>
        <w:tc>
          <w:tcPr>
            <w:tcW w:w="1559" w:type="dxa"/>
          </w:tcPr>
          <w:p w:rsidR="00DB244B" w:rsidRDefault="008C75DF" w:rsidP="008C75DF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Невеликі та середні за розміром держави</w:t>
            </w:r>
            <w:r w:rsidR="00F843E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із родючими грунтами</w:t>
            </w:r>
          </w:p>
        </w:tc>
      </w:tr>
      <w:tr w:rsidR="008C75DF" w:rsidRPr="00567BCF" w:rsidTr="008C75DF">
        <w:tc>
          <w:tcPr>
            <w:tcW w:w="1951" w:type="dxa"/>
            <w:gridSpan w:val="2"/>
          </w:tcPr>
          <w:p w:rsidR="00DB244B" w:rsidRPr="004D0568" w:rsidRDefault="00DB244B" w:rsidP="001179C1">
            <w:pPr>
              <w:ind w:right="57"/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</w:pPr>
            <w:proofErr w:type="spellStart"/>
            <w:r w:rsidRPr="004D0568">
              <w:rPr>
                <w:rFonts w:ascii="Times New Roman" w:hAnsi="Times New Roman" w:cs="Times New Roman"/>
                <w:b/>
                <w:i/>
                <w:sz w:val="21"/>
                <w:szCs w:val="21"/>
                <w:lang w:val="ru-RU"/>
              </w:rPr>
              <w:t>Деспотія</w:t>
            </w:r>
            <w:proofErr w:type="spellEnd"/>
          </w:p>
        </w:tc>
        <w:tc>
          <w:tcPr>
            <w:tcW w:w="2126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Необмежена влада деспота. </w:t>
            </w:r>
          </w:p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Законни відсутні,замість них діє необмежене владне свавіля.</w:t>
            </w:r>
          </w:p>
        </w:tc>
        <w:tc>
          <w:tcPr>
            <w:tcW w:w="1276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Страх</w:t>
            </w:r>
          </w:p>
        </w:tc>
        <w:tc>
          <w:tcPr>
            <w:tcW w:w="1985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Основний «закон» - всановлення влади всевладного правителя. </w:t>
            </w:r>
          </w:p>
        </w:tc>
        <w:tc>
          <w:tcPr>
            <w:tcW w:w="1559" w:type="dxa"/>
          </w:tcPr>
          <w:p w:rsidR="00DB244B" w:rsidRDefault="00DB244B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Характерна для великих за розміром держав із жарким кліматом та родючою землею.</w:t>
            </w:r>
          </w:p>
        </w:tc>
      </w:tr>
    </w:tbl>
    <w:p w:rsidR="00FB640F" w:rsidRDefault="00961B40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* </w:t>
      </w:r>
      <w:proofErr w:type="spellStart"/>
      <w:r>
        <w:rPr>
          <w:rFonts w:ascii="Times New Roman" w:hAnsi="Times New Roman" w:cs="Times New Roman"/>
          <w:sz w:val="21"/>
          <w:szCs w:val="21"/>
          <w:lang w:val="ru-RU"/>
        </w:rPr>
        <w:t>Основним</w:t>
      </w:r>
      <w:proofErr w:type="spellEnd"/>
      <w:r>
        <w:rPr>
          <w:rFonts w:ascii="Times New Roman" w:hAnsi="Times New Roman" w:cs="Times New Roman"/>
          <w:sz w:val="21"/>
          <w:szCs w:val="21"/>
          <w:lang w:val="ru-RU"/>
        </w:rPr>
        <w:t xml:space="preserve"> «каналом», за допомогою якого реалізується влада монарха та здійснюється вланий звязок із народом </w:t>
      </w:r>
      <w:r w:rsidR="004D0568">
        <w:rPr>
          <w:rFonts w:ascii="Times New Roman" w:hAnsi="Times New Roman" w:cs="Times New Roman"/>
          <w:sz w:val="21"/>
          <w:szCs w:val="21"/>
          <w:lang w:val="ru-RU"/>
        </w:rPr>
        <w:t>є шляхта (дворянство). Без сильної шляхти монарх перетворюється на деспота.</w:t>
      </w:r>
    </w:p>
    <w:p w:rsidR="00BF4CEC" w:rsidRDefault="00BF4CEC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Монескє</w:t>
      </w:r>
      <w:r w:rsidR="008C75DF">
        <w:rPr>
          <w:rFonts w:ascii="Times New Roman" w:hAnsi="Times New Roman" w:cs="Times New Roman"/>
          <w:sz w:val="21"/>
          <w:szCs w:val="21"/>
          <w:lang w:val="ru-RU"/>
        </w:rPr>
        <w:t xml:space="preserve"> надає перевагу стабільним, заснованим на законі формам правління</w:t>
      </w:r>
      <w:r>
        <w:rPr>
          <w:rFonts w:ascii="Times New Roman" w:hAnsi="Times New Roman" w:cs="Times New Roman"/>
          <w:sz w:val="21"/>
          <w:szCs w:val="21"/>
          <w:lang w:val="ru-RU"/>
        </w:rPr>
        <w:t>, як</w:t>
      </w:r>
      <w:r w:rsidR="008C75DF">
        <w:rPr>
          <w:rFonts w:ascii="Times New Roman" w:hAnsi="Times New Roman" w:cs="Times New Roman"/>
          <w:sz w:val="21"/>
          <w:szCs w:val="21"/>
          <w:lang w:val="ru-RU"/>
        </w:rPr>
        <w:t>і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називає «помір</w:t>
      </w:r>
      <w:r w:rsidR="0055126B">
        <w:rPr>
          <w:rFonts w:ascii="Times New Roman" w:hAnsi="Times New Roman" w:cs="Times New Roman"/>
          <w:sz w:val="21"/>
          <w:szCs w:val="21"/>
          <w:lang w:val="ru-RU"/>
        </w:rPr>
        <w:t>кованим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правлінням».</w:t>
      </w:r>
    </w:p>
    <w:p w:rsidR="00BF4CEC" w:rsidRDefault="00BF4CEC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Лише </w:t>
      </w:r>
      <w:r w:rsidR="0055126B">
        <w:rPr>
          <w:rFonts w:ascii="Times New Roman" w:hAnsi="Times New Roman" w:cs="Times New Roman"/>
          <w:sz w:val="21"/>
          <w:szCs w:val="21"/>
          <w:lang w:val="ru-RU"/>
        </w:rPr>
        <w:t>помірковане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правліня</w:t>
      </w:r>
      <w:r w:rsidR="0055126B">
        <w:rPr>
          <w:rFonts w:ascii="Times New Roman" w:hAnsi="Times New Roman" w:cs="Times New Roman"/>
          <w:sz w:val="21"/>
          <w:szCs w:val="21"/>
          <w:lang w:val="ru-RU"/>
        </w:rPr>
        <w:t xml:space="preserve"> здатне 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>у повній мірі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забезпеч</w:t>
      </w:r>
      <w:r w:rsidR="0055126B">
        <w:rPr>
          <w:rFonts w:ascii="Times New Roman" w:hAnsi="Times New Roman" w:cs="Times New Roman"/>
          <w:sz w:val="21"/>
          <w:szCs w:val="21"/>
          <w:lang w:val="ru-RU"/>
        </w:rPr>
        <w:t>ити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реалізацію політичної свободи в системі державного устрою та </w:t>
      </w:r>
      <w:r w:rsidR="0003232A">
        <w:rPr>
          <w:rFonts w:ascii="Times New Roman" w:hAnsi="Times New Roman" w:cs="Times New Roman"/>
          <w:sz w:val="21"/>
          <w:szCs w:val="21"/>
          <w:lang w:val="ru-RU"/>
        </w:rPr>
        <w:t>в контексті політичної безпеки громадянина</w:t>
      </w:r>
      <w:r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1179C1" w:rsidRDefault="001179C1" w:rsidP="001179C1">
      <w:pPr>
        <w:spacing w:after="0"/>
        <w:ind w:right="57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</w:pPr>
    </w:p>
    <w:p w:rsidR="00FB640F" w:rsidRPr="004D0568" w:rsidRDefault="004D0568" w:rsidP="001179C1">
      <w:pPr>
        <w:spacing w:after="0"/>
        <w:ind w:right="57"/>
        <w:jc w:val="both"/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</w:pPr>
      <w:r w:rsidRPr="004D0568">
        <w:rPr>
          <w:rFonts w:ascii="Times New Roman" w:hAnsi="Times New Roman" w:cs="Times New Roman"/>
          <w:b/>
          <w:i/>
          <w:sz w:val="21"/>
          <w:szCs w:val="21"/>
          <w:u w:val="single"/>
          <w:lang w:val="ru-RU"/>
        </w:rPr>
        <w:t>Теорія поділу влад</w:t>
      </w:r>
    </w:p>
    <w:p w:rsidR="00E75587" w:rsidRDefault="00BF4CEC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Необхідною умовою забезпечення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 xml:space="preserve"> політичної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свободи (навіть 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 xml:space="preserve">за </w:t>
      </w:r>
      <w:r w:rsidR="0003232A">
        <w:rPr>
          <w:rFonts w:ascii="Times New Roman" w:hAnsi="Times New Roman" w:cs="Times New Roman"/>
          <w:sz w:val="21"/>
          <w:szCs w:val="21"/>
          <w:lang w:val="ru-RU"/>
        </w:rPr>
        <w:t>поміркованого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 xml:space="preserve"> правління</w:t>
      </w:r>
      <w:r>
        <w:rPr>
          <w:rFonts w:ascii="Times New Roman" w:hAnsi="Times New Roman" w:cs="Times New Roman"/>
          <w:sz w:val="21"/>
          <w:szCs w:val="21"/>
          <w:lang w:val="ru-RU"/>
        </w:rPr>
        <w:t>)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 xml:space="preserve"> є недопущення можливості зловживання владою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 xml:space="preserve"> або її узурпації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 xml:space="preserve">, яке досягається 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>за опомогою встановлення систми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 xml:space="preserve"> поділу державної влади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 xml:space="preserve"> на три незалежні одна від одної галками законодавчою, виконавчою та судовою.</w:t>
      </w:r>
      <w:r w:rsidR="00E75587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FC0FDD" w:rsidRDefault="00E75587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Поділ влад передбачає не просто функціональний розподіл повноважень, а взаємн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 xml:space="preserve">ий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контрол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>ь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та функціональн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>у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«обмежені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>сть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» кожної </w:t>
      </w:r>
      <w:r w:rsidR="00FC0FDD">
        <w:rPr>
          <w:rFonts w:ascii="Times New Roman" w:hAnsi="Times New Roman" w:cs="Times New Roman"/>
          <w:sz w:val="21"/>
          <w:szCs w:val="21"/>
          <w:lang w:val="ru-RU"/>
        </w:rPr>
        <w:t>гілки – систему «стримувань та противаг» (законодавча влада приймає закони, але не може контролювати їх виконання; виконавча влада реалізує закони, які сама не приймає; судова влада виносить рішення та відновлює порушене право, але не має можливості їх самостійно реалізувати).</w:t>
      </w:r>
    </w:p>
    <w:p w:rsidR="00E75587" w:rsidRDefault="00FC0FDD" w:rsidP="001179C1">
      <w:pPr>
        <w:spacing w:after="0"/>
        <w:ind w:right="57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На відміну від Джона  Локка</w:t>
      </w:r>
      <w:r w:rsidR="000D7024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="0003232A">
        <w:rPr>
          <w:rFonts w:ascii="Times New Roman" w:hAnsi="Times New Roman" w:cs="Times New Roman"/>
          <w:sz w:val="21"/>
          <w:szCs w:val="21"/>
          <w:lang w:val="ru-RU"/>
        </w:rPr>
        <w:t>(</w:t>
      </w:r>
      <w:r w:rsidR="0003232A" w:rsidRPr="0003232A">
        <w:rPr>
          <w:rFonts w:ascii="Times New Roman" w:hAnsi="Times New Roman" w:cs="Times New Roman"/>
          <w:sz w:val="21"/>
          <w:szCs w:val="21"/>
          <w:highlight w:val="yellow"/>
          <w:lang w:val="ru-RU"/>
        </w:rPr>
        <w:t>див. стор....)</w:t>
      </w:r>
      <w:r w:rsidR="0003232A"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  <w:r>
        <w:rPr>
          <w:rFonts w:ascii="Times New Roman" w:hAnsi="Times New Roman" w:cs="Times New Roman"/>
          <w:sz w:val="21"/>
          <w:szCs w:val="21"/>
          <w:lang w:val="ru-RU"/>
        </w:rPr>
        <w:t>, який висловлював ідею верховенства законодавчої влади, Монтескє підкреслює юридичну рівність та незалежність усіх тьох гілок влади.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D7024" w:rsidTr="000D7024">
        <w:tc>
          <w:tcPr>
            <w:tcW w:w="9905" w:type="dxa"/>
          </w:tcPr>
          <w:p w:rsidR="000D7024" w:rsidRDefault="000D7024" w:rsidP="001179C1">
            <w:pPr>
              <w:ind w:right="57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Терія поділу влад у версії Шарля Луї Монтескє була інтерпитована «батьками – засновниками» США  (</w:t>
            </w:r>
            <w:r w:rsidRPr="0003232A"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  <w:t>див. стор....)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і на сьогодні реалізована у більшості демократичних конституцій Світу. </w:t>
            </w:r>
          </w:p>
        </w:tc>
      </w:tr>
    </w:tbl>
    <w:p w:rsidR="00FC0FDD" w:rsidRDefault="00FC0FDD">
      <w:pPr>
        <w:rPr>
          <w:rFonts w:ascii="Times New Roman" w:hAnsi="Times New Roman" w:cs="Times New Roman"/>
          <w:sz w:val="21"/>
          <w:szCs w:val="21"/>
          <w:lang w:val="ru-RU"/>
        </w:rPr>
      </w:pPr>
    </w:p>
    <w:p w:rsidR="00E75587" w:rsidRDefault="002837DA">
      <w:pPr>
        <w:rPr>
          <w:rFonts w:ascii="Times New Roman" w:hAnsi="Times New Roman" w:cs="Times New Roman"/>
          <w:b/>
          <w:sz w:val="21"/>
          <w:szCs w:val="21"/>
          <w:lang w:val="ru-RU"/>
        </w:rPr>
      </w:pPr>
      <w:r w:rsidRPr="002837DA">
        <w:rPr>
          <w:rFonts w:ascii="Times New Roman" w:hAnsi="Times New Roman" w:cs="Times New Roman"/>
          <w:b/>
          <w:sz w:val="21"/>
          <w:szCs w:val="21"/>
          <w:lang w:val="ru-RU"/>
        </w:rPr>
        <w:lastRenderedPageBreak/>
        <w:t>Цитати</w:t>
      </w:r>
    </w:p>
    <w:p w:rsidR="009C4521" w:rsidRPr="00013F69" w:rsidRDefault="009C4521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«Не «війна проти всіх», як вважає Томас Гоббс, а мир був природним законом первинного стану суспільства. Особливістю цієї фази є те, що кожен відчуває себе неповносправним і наврядчи хтось відчуає себе рівним іншому. За таких умов і мови немає про напад».</w:t>
      </w:r>
    </w:p>
    <w:p w:rsidR="009C4521" w:rsidRPr="00013F69" w:rsidRDefault="009C4521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«Справедливість – це співвідношення між речами. Вона завжди однакова, яка б істота її нерозгядала, хай то буде Бог, або ангел, або нарешті людина.»</w:t>
      </w:r>
    </w:p>
    <w:p w:rsidR="009C4521" w:rsidRPr="00013F69" w:rsidRDefault="00EA09F6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«Законам створеним людьми, завжди має передувати можливість справедливих відносин».</w:t>
      </w:r>
    </w:p>
    <w:p w:rsidR="002837DA" w:rsidRPr="00013F69" w:rsidRDefault="002837DA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 xml:space="preserve">«... уся нескінченна багатоманітність законів та звичаїв не викликана свавіллям людської фантазії. Я визначив загальні начала і побачи, що усі окремі випадки самі собою підпорядковуються їм, історія </w:t>
      </w:r>
      <w:r w:rsidR="00CA226B" w:rsidRPr="00013F69">
        <w:rPr>
          <w:rFonts w:ascii="Times New Roman" w:hAnsi="Times New Roman" w:cs="Times New Roman"/>
          <w:i/>
          <w:sz w:val="21"/>
          <w:szCs w:val="21"/>
          <w:lang w:val="ru-RU"/>
        </w:rPr>
        <w:t>всякого народу витікає із них, як наслідок, а всякий окремий закон звязаний з іншими законами, абозалежить від білбш загального закону.</w:t>
      </w: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»</w:t>
      </w:r>
    </w:p>
    <w:p w:rsidR="00CA226B" w:rsidRPr="00013F69" w:rsidRDefault="00CA226B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«Політичні та громадянські закони кожного народу мають бути лише окремими випадками застосування розуму».</w:t>
      </w:r>
    </w:p>
    <w:p w:rsidR="00CA226B" w:rsidRPr="00013F69" w:rsidRDefault="00D833A8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«Свобода є право робити все, що дозволено законами».</w:t>
      </w:r>
    </w:p>
    <w:p w:rsidR="00D833A8" w:rsidRPr="00013F69" w:rsidRDefault="00D833A8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«Свобода мого кулака закінчується там, де починається ніс ближнього».</w:t>
      </w:r>
    </w:p>
    <w:p w:rsidR="00D833A8" w:rsidRPr="00013F69" w:rsidRDefault="00D833A8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«Закони від виконання яких можна ухилитися послаблюють усе законодавство.»</w:t>
      </w:r>
    </w:p>
    <w:p w:rsidR="004D0568" w:rsidRPr="00013F69" w:rsidRDefault="009D28E3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«Дух поміркованності має бути духом законодавця»</w:t>
      </w:r>
    </w:p>
    <w:p w:rsidR="009D28E3" w:rsidRPr="00013F69" w:rsidRDefault="009D28E3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</w:t>
      </w:r>
      <w:r w:rsidRPr="00013F69">
        <w:rPr>
          <w:rFonts w:ascii="Times New Roman" w:hAnsi="Times New Roman" w:cs="Times New Roman"/>
          <w:i/>
          <w:color w:val="222222"/>
          <w:sz w:val="21"/>
          <w:szCs w:val="21"/>
          <w:shd w:val="clear" w:color="auto" w:fill="F8F9FA"/>
          <w:lang w:val="ru-RU"/>
        </w:rPr>
        <w:t>Усі люди рівні в республіканських державах, вони рівні і в деспотичних державах. У першому випадку вони рівні, бо вони - все, в другому - тому, що вони ніщо.</w:t>
      </w: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»</w:t>
      </w:r>
    </w:p>
    <w:p w:rsidR="00EA09F6" w:rsidRPr="00013F69" w:rsidRDefault="00EA09F6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«У будь-яких суспільствах, які є нічим іншим, як оюєднання духу, утворюється єдиний характер. Ця загальна душа має притаманний лише їй спосіб мислення, який являє собою</w:t>
      </w:r>
      <w:r w:rsidR="00DB244B" w:rsidRPr="00013F69">
        <w:rPr>
          <w:rFonts w:ascii="Times New Roman" w:hAnsi="Times New Roman" w:cs="Times New Roman"/>
          <w:i/>
          <w:sz w:val="21"/>
          <w:szCs w:val="21"/>
          <w:lang w:val="ru-RU"/>
        </w:rPr>
        <w:t xml:space="preserve"> нескінченний ланцюг причин, якімножаться та переплітаються між собою із плином часу</w:t>
      </w: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»</w:t>
      </w:r>
      <w:r w:rsidR="00DB244B" w:rsidRPr="00013F69">
        <w:rPr>
          <w:rFonts w:ascii="Times New Roman" w:hAnsi="Times New Roman" w:cs="Times New Roman"/>
          <w:i/>
          <w:sz w:val="21"/>
          <w:szCs w:val="21"/>
          <w:lang w:val="ru-RU"/>
        </w:rPr>
        <w:t>.</w:t>
      </w:r>
    </w:p>
    <w:p w:rsidR="00DB244B" w:rsidRPr="00013F69" w:rsidRDefault="00DB244B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«Чим менше носіїв влади тим більшою є іхня влада, але меншою їх безпека».</w:t>
      </w:r>
    </w:p>
    <w:p w:rsidR="00DB244B" w:rsidRPr="00013F69" w:rsidRDefault="00DB244B">
      <w:pPr>
        <w:rPr>
          <w:rFonts w:ascii="Times New Roman" w:hAnsi="Times New Roman" w:cs="Times New Roman"/>
          <w:i/>
          <w:sz w:val="21"/>
          <w:szCs w:val="21"/>
          <w:lang w:val="ru-RU"/>
        </w:rPr>
      </w:pPr>
      <w:r w:rsidRPr="00013F69">
        <w:rPr>
          <w:rFonts w:ascii="Times New Roman" w:hAnsi="Times New Roman" w:cs="Times New Roman"/>
          <w:i/>
          <w:sz w:val="21"/>
          <w:szCs w:val="21"/>
          <w:lang w:val="ru-RU"/>
        </w:rPr>
        <w:t>«За деспотії всякий тиран – одночасно і раб».</w:t>
      </w:r>
    </w:p>
    <w:p w:rsidR="00DB244B" w:rsidRDefault="00DB244B">
      <w:pPr>
        <w:rPr>
          <w:rFonts w:ascii="Times New Roman" w:hAnsi="Times New Roman" w:cs="Times New Roman"/>
          <w:sz w:val="21"/>
          <w:szCs w:val="21"/>
          <w:lang w:val="ru-RU"/>
        </w:rPr>
      </w:pPr>
    </w:p>
    <w:p w:rsidR="009D28E3" w:rsidRPr="009D28E3" w:rsidRDefault="009D28E3">
      <w:pPr>
        <w:rPr>
          <w:rFonts w:ascii="Times New Roman" w:hAnsi="Times New Roman" w:cs="Times New Roman"/>
          <w:sz w:val="21"/>
          <w:szCs w:val="21"/>
          <w:lang w:val="ru-RU"/>
        </w:rPr>
      </w:pPr>
    </w:p>
    <w:sectPr w:rsidR="009D28E3" w:rsidRPr="009D28E3" w:rsidSect="00B477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24C5"/>
    <w:multiLevelType w:val="hybridMultilevel"/>
    <w:tmpl w:val="FF8A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C4E"/>
    <w:rsid w:val="00013F69"/>
    <w:rsid w:val="0003232A"/>
    <w:rsid w:val="000D7024"/>
    <w:rsid w:val="001179C1"/>
    <w:rsid w:val="00215071"/>
    <w:rsid w:val="0022090C"/>
    <w:rsid w:val="0025104B"/>
    <w:rsid w:val="002837DA"/>
    <w:rsid w:val="00435C4E"/>
    <w:rsid w:val="00437E5C"/>
    <w:rsid w:val="004D0568"/>
    <w:rsid w:val="0055126B"/>
    <w:rsid w:val="00567BCF"/>
    <w:rsid w:val="006B1A92"/>
    <w:rsid w:val="00713E5D"/>
    <w:rsid w:val="008C75DF"/>
    <w:rsid w:val="008D790C"/>
    <w:rsid w:val="0095245F"/>
    <w:rsid w:val="00961B40"/>
    <w:rsid w:val="009C4521"/>
    <w:rsid w:val="009D28E3"/>
    <w:rsid w:val="00B47792"/>
    <w:rsid w:val="00BB6039"/>
    <w:rsid w:val="00BF4CEC"/>
    <w:rsid w:val="00CA226B"/>
    <w:rsid w:val="00D833A8"/>
    <w:rsid w:val="00DA5E9F"/>
    <w:rsid w:val="00DB244B"/>
    <w:rsid w:val="00E21181"/>
    <w:rsid w:val="00E75587"/>
    <w:rsid w:val="00EA09F6"/>
    <w:rsid w:val="00EE2458"/>
    <w:rsid w:val="00F843EA"/>
    <w:rsid w:val="00FB640F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360CF7"/>
  <w15:docId w15:val="{08C28635-AAF2-43DD-96C4-DDEA8D58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1B40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1179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DED823-CFCD-42AC-882C-1C2397486F64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0B9FDE-E13D-40F7-B707-C509C901B047}">
      <dgm:prSet phldrT="[Text]" custT="1"/>
      <dgm:spPr/>
      <dgm:t>
        <a:bodyPr/>
        <a:lstStyle/>
        <a:p>
          <a:r>
            <a:rPr lang="uk-UA" sz="1100" b="1"/>
            <a:t>Дух народу</a:t>
          </a:r>
          <a:endParaRPr lang="en-US" sz="1100" b="1"/>
        </a:p>
      </dgm:t>
    </dgm:pt>
    <dgm:pt modelId="{2E04A802-BA68-45DA-828D-744A99A6A89B}" type="parTrans" cxnId="{9B3BCFBD-E644-471D-9D50-2EDD6C28B04C}">
      <dgm:prSet/>
      <dgm:spPr/>
      <dgm:t>
        <a:bodyPr/>
        <a:lstStyle/>
        <a:p>
          <a:endParaRPr lang="en-US"/>
        </a:p>
      </dgm:t>
    </dgm:pt>
    <dgm:pt modelId="{16A1E311-4FB4-444F-A739-31A4A771A585}" type="sibTrans" cxnId="{9B3BCFBD-E644-471D-9D50-2EDD6C28B04C}">
      <dgm:prSet/>
      <dgm:spPr/>
      <dgm:t>
        <a:bodyPr/>
        <a:lstStyle/>
        <a:p>
          <a:endParaRPr lang="en-US"/>
        </a:p>
      </dgm:t>
    </dgm:pt>
    <dgm:pt modelId="{4F7B83F3-A05A-4239-94F7-56AE734A0936}">
      <dgm:prSet phldrT="[Text]" custT="1"/>
      <dgm:spPr/>
      <dgm:t>
        <a:bodyPr/>
        <a:lstStyle/>
        <a:p>
          <a:r>
            <a:rPr lang="uk-UA" sz="1050" b="1"/>
            <a:t>Природні фактори</a:t>
          </a:r>
        </a:p>
        <a:p>
          <a:r>
            <a:rPr lang="uk-UA" sz="1050"/>
            <a:t>(Географічне розташування, розмір, клімат, природні ресурси)</a:t>
          </a:r>
          <a:endParaRPr lang="en-US" sz="1050"/>
        </a:p>
      </dgm:t>
    </dgm:pt>
    <dgm:pt modelId="{8FC0C07B-F8A1-4DB5-9A30-A2DD791828A2}" type="parTrans" cxnId="{49003D9F-7BBA-412E-9886-B7E29FE57456}">
      <dgm:prSet/>
      <dgm:spPr/>
      <dgm:t>
        <a:bodyPr/>
        <a:lstStyle/>
        <a:p>
          <a:endParaRPr lang="en-US"/>
        </a:p>
      </dgm:t>
    </dgm:pt>
    <dgm:pt modelId="{67CC5951-70BC-4305-867C-B4592398D91F}" type="sibTrans" cxnId="{49003D9F-7BBA-412E-9886-B7E29FE57456}">
      <dgm:prSet/>
      <dgm:spPr/>
      <dgm:t>
        <a:bodyPr/>
        <a:lstStyle/>
        <a:p>
          <a:endParaRPr lang="en-US"/>
        </a:p>
      </dgm:t>
    </dgm:pt>
    <dgm:pt modelId="{E214B34B-3D7C-408D-91A9-DF80431C9173}">
      <dgm:prSet phldrT="[Text]" custT="1"/>
      <dgm:spPr/>
      <dgm:t>
        <a:bodyPr/>
        <a:lstStyle/>
        <a:p>
          <a:r>
            <a:rPr lang="uk-UA" sz="1050" b="1"/>
            <a:t>Соціокультурні фактори</a:t>
          </a:r>
        </a:p>
        <a:p>
          <a:r>
            <a:rPr lang="uk-UA" sz="1050"/>
            <a:t>(Звичаї, релігія, спосіб життя, )</a:t>
          </a:r>
          <a:endParaRPr lang="en-US" sz="1050"/>
        </a:p>
      </dgm:t>
    </dgm:pt>
    <dgm:pt modelId="{C43DE051-AD39-4E14-B1A1-EF5D7AF38D59}" type="parTrans" cxnId="{35CD5FF2-B688-452C-8E7C-A56C74E1B461}">
      <dgm:prSet/>
      <dgm:spPr/>
      <dgm:t>
        <a:bodyPr/>
        <a:lstStyle/>
        <a:p>
          <a:endParaRPr lang="en-US"/>
        </a:p>
      </dgm:t>
    </dgm:pt>
    <dgm:pt modelId="{0DF151B7-AA88-4347-8525-6BC3A87A0D04}" type="sibTrans" cxnId="{35CD5FF2-B688-452C-8E7C-A56C74E1B461}">
      <dgm:prSet/>
      <dgm:spPr/>
      <dgm:t>
        <a:bodyPr/>
        <a:lstStyle/>
        <a:p>
          <a:endParaRPr lang="en-US"/>
        </a:p>
      </dgm:t>
    </dgm:pt>
    <dgm:pt modelId="{9843E289-4F04-4A55-BDEB-6D62AE648EF3}">
      <dgm:prSet/>
      <dgm:spPr/>
      <dgm:t>
        <a:bodyPr/>
        <a:lstStyle/>
        <a:p>
          <a:endParaRPr lang="en-US"/>
        </a:p>
      </dgm:t>
    </dgm:pt>
    <dgm:pt modelId="{135BD6E1-AC33-4F0A-A738-F0E4521CE31E}" type="parTrans" cxnId="{95440A80-9400-4267-889B-304D4E31B1C0}">
      <dgm:prSet/>
      <dgm:spPr/>
      <dgm:t>
        <a:bodyPr/>
        <a:lstStyle/>
        <a:p>
          <a:endParaRPr lang="en-US"/>
        </a:p>
      </dgm:t>
    </dgm:pt>
    <dgm:pt modelId="{20B8D1CD-5619-412E-95F7-1D9D5B851FEC}" type="sibTrans" cxnId="{95440A80-9400-4267-889B-304D4E31B1C0}">
      <dgm:prSet/>
      <dgm:spPr/>
      <dgm:t>
        <a:bodyPr/>
        <a:lstStyle/>
        <a:p>
          <a:endParaRPr lang="en-US"/>
        </a:p>
      </dgm:t>
    </dgm:pt>
    <dgm:pt modelId="{44119053-940D-40D1-B655-E47B0688506B}">
      <dgm:prSet/>
      <dgm:spPr/>
      <dgm:t>
        <a:bodyPr/>
        <a:lstStyle/>
        <a:p>
          <a:endParaRPr lang="en-US"/>
        </a:p>
      </dgm:t>
    </dgm:pt>
    <dgm:pt modelId="{B72E30C8-A79F-4F49-98B9-B29024754106}" type="parTrans" cxnId="{B33A7476-1A55-4996-8EAD-0486F3DFF46C}">
      <dgm:prSet/>
      <dgm:spPr/>
      <dgm:t>
        <a:bodyPr/>
        <a:lstStyle/>
        <a:p>
          <a:endParaRPr lang="en-US"/>
        </a:p>
      </dgm:t>
    </dgm:pt>
    <dgm:pt modelId="{076CB5F6-A1FC-478A-8874-CEA1ADD1E2CB}" type="sibTrans" cxnId="{B33A7476-1A55-4996-8EAD-0486F3DFF46C}">
      <dgm:prSet/>
      <dgm:spPr/>
      <dgm:t>
        <a:bodyPr/>
        <a:lstStyle/>
        <a:p>
          <a:endParaRPr lang="en-US"/>
        </a:p>
      </dgm:t>
    </dgm:pt>
    <dgm:pt modelId="{05E6530A-F989-4D1B-9844-4CB7F6A2119F}" type="pres">
      <dgm:prSet presAssocID="{FEDED823-CFCD-42AC-882C-1C2397486F6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A7BBC58-EDE5-4B7F-8EF2-4584094A6194}" type="pres">
      <dgm:prSet presAssocID="{B20B9FDE-E13D-40F7-B707-C509C901B047}" presName="centerShape" presStyleLbl="node0" presStyleIdx="0" presStyleCnt="1" custLinFactNeighborX="799" custLinFactNeighborY="10873"/>
      <dgm:spPr/>
      <dgm:t>
        <a:bodyPr/>
        <a:lstStyle/>
        <a:p>
          <a:endParaRPr lang="en-US"/>
        </a:p>
      </dgm:t>
    </dgm:pt>
    <dgm:pt modelId="{2D8C1098-DF3E-4446-A127-C5576073655B}" type="pres">
      <dgm:prSet presAssocID="{8FC0C07B-F8A1-4DB5-9A30-A2DD791828A2}" presName="parTrans" presStyleLbl="bgSibTrans2D1" presStyleIdx="0" presStyleCnt="2" custScaleX="49370" custLinFactY="21787" custLinFactNeighborX="-11181" custLinFactNeighborY="100000"/>
      <dgm:spPr/>
      <dgm:t>
        <a:bodyPr/>
        <a:lstStyle/>
        <a:p>
          <a:endParaRPr lang="en-US"/>
        </a:p>
      </dgm:t>
    </dgm:pt>
    <dgm:pt modelId="{5F85E21C-9DFE-4B24-A9C5-DB4E4359C31D}" type="pres">
      <dgm:prSet presAssocID="{4F7B83F3-A05A-4239-94F7-56AE734A0936}" presName="node" presStyleLbl="node1" presStyleIdx="0" presStyleCnt="2" custScaleX="177528" custScaleY="203097" custRadScaleRad="154540" custRadScaleInc="384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A1BA4-56D8-4AEC-9148-42C1481A54F4}" type="pres">
      <dgm:prSet presAssocID="{C43DE051-AD39-4E14-B1A1-EF5D7AF38D59}" presName="parTrans" presStyleLbl="bgSibTrans2D1" presStyleIdx="1" presStyleCnt="2" custAng="233686" custScaleX="61149" custLinFactNeighborX="4644" custLinFactNeighborY="96186"/>
      <dgm:spPr/>
      <dgm:t>
        <a:bodyPr/>
        <a:lstStyle/>
        <a:p>
          <a:endParaRPr lang="en-US"/>
        </a:p>
      </dgm:t>
    </dgm:pt>
    <dgm:pt modelId="{CDB40A36-05FE-4932-81B2-7DD8E9148D2F}" type="pres">
      <dgm:prSet presAssocID="{E214B34B-3D7C-408D-91A9-DF80431C9173}" presName="node" presStyleLbl="node1" presStyleIdx="1" presStyleCnt="2" custScaleX="170911" custScaleY="202225" custRadScaleRad="162025" custRadScaleInc="-314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1B7C4D-021F-4D56-B689-43985B349AD9}" type="presOf" srcId="{E214B34B-3D7C-408D-91A9-DF80431C9173}" destId="{CDB40A36-05FE-4932-81B2-7DD8E9148D2F}" srcOrd="0" destOrd="0" presId="urn:microsoft.com/office/officeart/2005/8/layout/radial4"/>
    <dgm:cxn modelId="{95440A80-9400-4267-889B-304D4E31B1C0}" srcId="{FEDED823-CFCD-42AC-882C-1C2397486F64}" destId="{9843E289-4F04-4A55-BDEB-6D62AE648EF3}" srcOrd="1" destOrd="0" parTransId="{135BD6E1-AC33-4F0A-A738-F0E4521CE31E}" sibTransId="{20B8D1CD-5619-412E-95F7-1D9D5B851FEC}"/>
    <dgm:cxn modelId="{11A7E3BE-5258-4FEC-9532-C9CBF0AB315F}" type="presOf" srcId="{8FC0C07B-F8A1-4DB5-9A30-A2DD791828A2}" destId="{2D8C1098-DF3E-4446-A127-C5576073655B}" srcOrd="0" destOrd="0" presId="urn:microsoft.com/office/officeart/2005/8/layout/radial4"/>
    <dgm:cxn modelId="{35CD5FF2-B688-452C-8E7C-A56C74E1B461}" srcId="{B20B9FDE-E13D-40F7-B707-C509C901B047}" destId="{E214B34B-3D7C-408D-91A9-DF80431C9173}" srcOrd="1" destOrd="0" parTransId="{C43DE051-AD39-4E14-B1A1-EF5D7AF38D59}" sibTransId="{0DF151B7-AA88-4347-8525-6BC3A87A0D04}"/>
    <dgm:cxn modelId="{F38F28D4-7CC4-4C11-AC4C-D267DA8CCFE2}" type="presOf" srcId="{C43DE051-AD39-4E14-B1A1-EF5D7AF38D59}" destId="{F1FA1BA4-56D8-4AEC-9148-42C1481A54F4}" srcOrd="0" destOrd="0" presId="urn:microsoft.com/office/officeart/2005/8/layout/radial4"/>
    <dgm:cxn modelId="{49003D9F-7BBA-412E-9886-B7E29FE57456}" srcId="{B20B9FDE-E13D-40F7-B707-C509C901B047}" destId="{4F7B83F3-A05A-4239-94F7-56AE734A0936}" srcOrd="0" destOrd="0" parTransId="{8FC0C07B-F8A1-4DB5-9A30-A2DD791828A2}" sibTransId="{67CC5951-70BC-4305-867C-B4592398D91F}"/>
    <dgm:cxn modelId="{67DBDEE2-12A1-4003-8E9E-104542C7F1CD}" type="presOf" srcId="{4F7B83F3-A05A-4239-94F7-56AE734A0936}" destId="{5F85E21C-9DFE-4B24-A9C5-DB4E4359C31D}" srcOrd="0" destOrd="0" presId="urn:microsoft.com/office/officeart/2005/8/layout/radial4"/>
    <dgm:cxn modelId="{B33A7476-1A55-4996-8EAD-0486F3DFF46C}" srcId="{FEDED823-CFCD-42AC-882C-1C2397486F64}" destId="{44119053-940D-40D1-B655-E47B0688506B}" srcOrd="2" destOrd="0" parTransId="{B72E30C8-A79F-4F49-98B9-B29024754106}" sibTransId="{076CB5F6-A1FC-478A-8874-CEA1ADD1E2CB}"/>
    <dgm:cxn modelId="{14A468F1-F398-4144-B1D8-1D48F9C227F0}" type="presOf" srcId="{B20B9FDE-E13D-40F7-B707-C509C901B047}" destId="{3A7BBC58-EDE5-4B7F-8EF2-4584094A6194}" srcOrd="0" destOrd="0" presId="urn:microsoft.com/office/officeart/2005/8/layout/radial4"/>
    <dgm:cxn modelId="{9B3BCFBD-E644-471D-9D50-2EDD6C28B04C}" srcId="{FEDED823-CFCD-42AC-882C-1C2397486F64}" destId="{B20B9FDE-E13D-40F7-B707-C509C901B047}" srcOrd="0" destOrd="0" parTransId="{2E04A802-BA68-45DA-828D-744A99A6A89B}" sibTransId="{16A1E311-4FB4-444F-A739-31A4A771A585}"/>
    <dgm:cxn modelId="{1F0B42EF-C1F5-451A-AB32-4B83DF0F6139}" type="presOf" srcId="{FEDED823-CFCD-42AC-882C-1C2397486F64}" destId="{05E6530A-F989-4D1B-9844-4CB7F6A2119F}" srcOrd="0" destOrd="0" presId="urn:microsoft.com/office/officeart/2005/8/layout/radial4"/>
    <dgm:cxn modelId="{886ABF37-C993-47E6-BADE-CA86FA0C7840}" type="presParOf" srcId="{05E6530A-F989-4D1B-9844-4CB7F6A2119F}" destId="{3A7BBC58-EDE5-4B7F-8EF2-4584094A6194}" srcOrd="0" destOrd="0" presId="urn:microsoft.com/office/officeart/2005/8/layout/radial4"/>
    <dgm:cxn modelId="{38E54506-ABBE-4B42-90EF-1262061F3BB4}" type="presParOf" srcId="{05E6530A-F989-4D1B-9844-4CB7F6A2119F}" destId="{2D8C1098-DF3E-4446-A127-C5576073655B}" srcOrd="1" destOrd="0" presId="urn:microsoft.com/office/officeart/2005/8/layout/radial4"/>
    <dgm:cxn modelId="{4100EB29-6D10-4025-8AEC-C240BA8AE426}" type="presParOf" srcId="{05E6530A-F989-4D1B-9844-4CB7F6A2119F}" destId="{5F85E21C-9DFE-4B24-A9C5-DB4E4359C31D}" srcOrd="2" destOrd="0" presId="urn:microsoft.com/office/officeart/2005/8/layout/radial4"/>
    <dgm:cxn modelId="{928ACDFF-A419-4857-8983-2467C046C55E}" type="presParOf" srcId="{05E6530A-F989-4D1B-9844-4CB7F6A2119F}" destId="{F1FA1BA4-56D8-4AEC-9148-42C1481A54F4}" srcOrd="3" destOrd="0" presId="urn:microsoft.com/office/officeart/2005/8/layout/radial4"/>
    <dgm:cxn modelId="{F0EE4FE2-D692-4121-B8AA-EF2075C357A0}" type="presParOf" srcId="{05E6530A-F989-4D1B-9844-4CB7F6A2119F}" destId="{CDB40A36-05FE-4932-81B2-7DD8E9148D2F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7BBC58-EDE5-4B7F-8EF2-4584094A6194}">
      <dsp:nvSpPr>
        <dsp:cNvPr id="0" name=""/>
        <dsp:cNvSpPr/>
      </dsp:nvSpPr>
      <dsp:spPr>
        <a:xfrm>
          <a:off x="833911" y="1380087"/>
          <a:ext cx="743565" cy="74356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1" kern="1200"/>
            <a:t>Дух народу</a:t>
          </a:r>
          <a:endParaRPr lang="en-US" sz="1100" b="1" kern="1200"/>
        </a:p>
      </dsp:txBody>
      <dsp:txXfrm>
        <a:off x="942804" y="1488980"/>
        <a:ext cx="525779" cy="525779"/>
      </dsp:txXfrm>
    </dsp:sp>
    <dsp:sp modelId="{2D8C1098-DF3E-4446-A127-C5576073655B}">
      <dsp:nvSpPr>
        <dsp:cNvPr id="0" name=""/>
        <dsp:cNvSpPr/>
      </dsp:nvSpPr>
      <dsp:spPr>
        <a:xfrm rot="14679972">
          <a:off x="520603" y="1123824"/>
          <a:ext cx="434620" cy="21191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85E21C-9DFE-4B24-A9C5-DB4E4359C31D}">
      <dsp:nvSpPr>
        <dsp:cNvPr id="0" name=""/>
        <dsp:cNvSpPr/>
      </dsp:nvSpPr>
      <dsp:spPr>
        <a:xfrm>
          <a:off x="20983" y="0"/>
          <a:ext cx="1254034" cy="1147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/>
            <a:t>Природні фактори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(Географічне розташування, розмір, клімат, природні ресурси)</a:t>
          </a:r>
          <a:endParaRPr lang="en-US" sz="1050" kern="1200"/>
        </a:p>
      </dsp:txBody>
      <dsp:txXfrm>
        <a:off x="54599" y="33616"/>
        <a:ext cx="1186802" cy="1080488"/>
      </dsp:txXfrm>
    </dsp:sp>
    <dsp:sp modelId="{F1FA1BA4-56D8-4AEC-9148-42C1481A54F4}">
      <dsp:nvSpPr>
        <dsp:cNvPr id="0" name=""/>
        <dsp:cNvSpPr/>
      </dsp:nvSpPr>
      <dsp:spPr>
        <a:xfrm rot="18308347">
          <a:off x="1427354" y="1076856"/>
          <a:ext cx="583028" cy="21191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B40A36-05FE-4932-81B2-7DD8E9148D2F}">
      <dsp:nvSpPr>
        <dsp:cNvPr id="0" name=""/>
        <dsp:cNvSpPr/>
      </dsp:nvSpPr>
      <dsp:spPr>
        <a:xfrm>
          <a:off x="1318217" y="0"/>
          <a:ext cx="1207292" cy="1142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/>
            <a:t>Соціокультурні фактори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/>
            <a:t>(Звичаї, релігія, спосіб життя, )</a:t>
          </a:r>
          <a:endParaRPr lang="en-US" sz="1050" kern="1200"/>
        </a:p>
      </dsp:txBody>
      <dsp:txXfrm>
        <a:off x="1351688" y="33471"/>
        <a:ext cx="1140350" cy="1075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2020-07-06T08:56:00Z</dcterms:created>
  <dcterms:modified xsi:type="dcterms:W3CDTF">2020-10-20T11:50:00Z</dcterms:modified>
</cp:coreProperties>
</file>