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w:t>
      </w:r>
      <w:r w:rsidR="00C5547B">
        <w:rPr>
          <w:rFonts w:ascii="Times New Roman" w:hAnsi="Times New Roman" w:cs="Times New Roman"/>
          <w:color w:val="000000"/>
          <w:spacing w:val="1"/>
          <w:sz w:val="28"/>
          <w:szCs w:val="28"/>
        </w:rPr>
        <w:t>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484207">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EA2A43" w:rsidRPr="00EA2A43">
        <w:rPr>
          <w:rFonts w:ascii="Times New Roman" w:hAnsi="Times New Roman" w:cs="Times New Roman"/>
          <w:b/>
          <w:color w:val="000000"/>
          <w:spacing w:val="1"/>
          <w:sz w:val="28"/>
          <w:szCs w:val="28"/>
        </w:rPr>
        <w:t>Криміналістична версія. Організація та планування розслідування</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2019</w:t>
      </w:r>
      <w:r>
        <w:rPr>
          <w:rFonts w:ascii="Times New Roman" w:hAnsi="Times New Roman" w:cs="Times New Roman"/>
          <w:sz w:val="28"/>
          <w:szCs w:val="28"/>
        </w:rPr>
        <w:br w:type="page"/>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і сутність криміналістичної версії;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класифікація криміналістичних версій;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стадії, методи побудови та перевірки версій;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зміст планування розслідування, вимоги до різних видів планів.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забезпечити організацію розслідування відповідно до принципів та рівнів реалізації;</w:t>
      </w:r>
    </w:p>
    <w:p w:rsidR="00CE2C15" w:rsidRDefault="00CE2C15" w:rsidP="00CE2C15">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складати письмовий план розслідування, відповідно до вимог різних видів.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CE2C15" w:rsidRDefault="00CE2C15" w:rsidP="00CE2C15">
      <w:pPr>
        <w:pStyle w:val="a4"/>
        <w:spacing w:line="345" w:lineRule="atLeast"/>
        <w:ind w:firstLine="450"/>
        <w:jc w:val="both"/>
        <w:rPr>
          <w:rFonts w:ascii="Georgia" w:hAnsi="Georgia"/>
          <w:color w:val="000000"/>
          <w:sz w:val="27"/>
          <w:szCs w:val="27"/>
        </w:rPr>
      </w:pPr>
      <w:hyperlink r:id="rId9" w:anchor="1" w:history="1">
        <w:r w:rsidR="009B17E6">
          <w:rPr>
            <w:rStyle w:val="a5"/>
            <w:rFonts w:ascii="Georgia" w:hAnsi="Georgia"/>
            <w:color w:val="00324C"/>
            <w:sz w:val="27"/>
            <w:szCs w:val="27"/>
          </w:rPr>
          <w:t>14</w:t>
        </w:r>
        <w:r>
          <w:rPr>
            <w:rStyle w:val="a5"/>
            <w:rFonts w:ascii="Georgia" w:hAnsi="Georgia"/>
            <w:color w:val="00324C"/>
            <w:sz w:val="27"/>
            <w:szCs w:val="27"/>
          </w:rPr>
          <w:t>.1. Поняття і сутність криміналістичної версії, класифікація криміналістичних версій</w:t>
        </w:r>
      </w:hyperlink>
    </w:p>
    <w:p w:rsidR="00CE2C15" w:rsidRDefault="00CE2C15" w:rsidP="00CE2C15">
      <w:pPr>
        <w:pStyle w:val="a4"/>
        <w:spacing w:line="345" w:lineRule="atLeast"/>
        <w:ind w:firstLine="450"/>
        <w:jc w:val="both"/>
        <w:rPr>
          <w:rFonts w:ascii="Georgia" w:hAnsi="Georgia"/>
          <w:color w:val="000000"/>
          <w:sz w:val="27"/>
          <w:szCs w:val="27"/>
        </w:rPr>
      </w:pPr>
      <w:hyperlink r:id="rId10" w:anchor="2" w:history="1">
        <w:r w:rsidR="009B17E6">
          <w:rPr>
            <w:rStyle w:val="a5"/>
            <w:rFonts w:ascii="Georgia" w:hAnsi="Georgia"/>
            <w:color w:val="00324C"/>
            <w:sz w:val="27"/>
            <w:szCs w:val="27"/>
          </w:rPr>
          <w:t>14</w:t>
        </w:r>
        <w:r>
          <w:rPr>
            <w:rStyle w:val="a5"/>
            <w:rFonts w:ascii="Georgia" w:hAnsi="Georgia"/>
            <w:color w:val="00324C"/>
            <w:sz w:val="27"/>
            <w:szCs w:val="27"/>
          </w:rPr>
          <w:t>.2. Стадії, методи побудови та перевірки версій</w:t>
        </w:r>
      </w:hyperlink>
    </w:p>
    <w:p w:rsidR="00CE2C15" w:rsidRDefault="00CE2C15" w:rsidP="00CE2C15">
      <w:pPr>
        <w:pStyle w:val="a4"/>
        <w:spacing w:line="345" w:lineRule="atLeast"/>
        <w:ind w:firstLine="450"/>
        <w:jc w:val="both"/>
        <w:rPr>
          <w:rFonts w:ascii="Georgia" w:hAnsi="Georgia"/>
          <w:color w:val="000000"/>
          <w:sz w:val="27"/>
          <w:szCs w:val="27"/>
        </w:rPr>
      </w:pPr>
      <w:hyperlink r:id="rId11" w:anchor="3" w:history="1">
        <w:r w:rsidR="009B17E6">
          <w:rPr>
            <w:rStyle w:val="a5"/>
            <w:rFonts w:ascii="Georgia" w:hAnsi="Georgia"/>
            <w:color w:val="00324C"/>
            <w:sz w:val="27"/>
            <w:szCs w:val="27"/>
          </w:rPr>
          <w:t>14</w:t>
        </w:r>
        <w:r>
          <w:rPr>
            <w:rStyle w:val="a5"/>
            <w:rFonts w:ascii="Georgia" w:hAnsi="Georgia"/>
            <w:color w:val="00324C"/>
            <w:sz w:val="27"/>
            <w:szCs w:val="27"/>
          </w:rPr>
          <w:t>.3. Зміст організації розслідування, його принципи та рівні реалізації</w:t>
        </w:r>
      </w:hyperlink>
    </w:p>
    <w:p w:rsidR="00CE2C15" w:rsidRDefault="00CE2C15" w:rsidP="00CE2C15">
      <w:pPr>
        <w:pStyle w:val="a4"/>
        <w:spacing w:line="345" w:lineRule="atLeast"/>
        <w:ind w:firstLine="450"/>
        <w:jc w:val="both"/>
        <w:rPr>
          <w:rFonts w:ascii="Georgia" w:hAnsi="Georgia"/>
          <w:color w:val="000000"/>
          <w:sz w:val="27"/>
          <w:szCs w:val="27"/>
        </w:rPr>
      </w:pPr>
      <w:hyperlink r:id="rId12" w:anchor="4" w:history="1">
        <w:r w:rsidR="009B17E6">
          <w:rPr>
            <w:rStyle w:val="a5"/>
            <w:rFonts w:ascii="Georgia" w:hAnsi="Georgia"/>
            <w:color w:val="00324C"/>
            <w:sz w:val="27"/>
            <w:szCs w:val="27"/>
          </w:rPr>
          <w:t>14</w:t>
        </w:r>
        <w:r>
          <w:rPr>
            <w:rStyle w:val="a5"/>
            <w:rFonts w:ascii="Georgia" w:hAnsi="Georgia"/>
            <w:color w:val="00324C"/>
            <w:sz w:val="27"/>
            <w:szCs w:val="27"/>
          </w:rPr>
          <w:t>.4. Зміс</w:t>
        </w:r>
        <w:bookmarkStart w:id="0" w:name="_GoBack"/>
        <w:bookmarkEnd w:id="0"/>
        <w:r>
          <w:rPr>
            <w:rStyle w:val="a5"/>
            <w:rFonts w:ascii="Georgia" w:hAnsi="Georgia"/>
            <w:color w:val="00324C"/>
            <w:sz w:val="27"/>
            <w:szCs w:val="27"/>
          </w:rPr>
          <w:t>т планування розслідування, вимоги до різних видів планів</w:t>
        </w:r>
      </w:hyperlink>
    </w:p>
    <w:p w:rsidR="00CE2C15" w:rsidRDefault="00CE2C15" w:rsidP="00CE2C15">
      <w:pPr>
        <w:pStyle w:val="a4"/>
        <w:spacing w:after="270" w:afterAutospacing="0" w:line="345" w:lineRule="atLeast"/>
        <w:ind w:firstLine="450"/>
        <w:jc w:val="both"/>
        <w:rPr>
          <w:rFonts w:ascii="Georgia" w:hAnsi="Georgia"/>
          <w:color w:val="000000"/>
          <w:sz w:val="27"/>
          <w:szCs w:val="27"/>
        </w:rPr>
      </w:pPr>
      <w:hyperlink r:id="rId13" w:anchor="q" w:history="1">
        <w:r>
          <w:rPr>
            <w:rStyle w:val="a5"/>
            <w:rFonts w:ascii="Georgia" w:hAnsi="Georgia"/>
            <w:color w:val="00324C"/>
            <w:sz w:val="27"/>
            <w:szCs w:val="27"/>
          </w:rPr>
          <w:t>Запитання для самоконтролю</w:t>
        </w:r>
      </w:hyperlink>
      <w:bookmarkStart w:id="1" w:name="1"/>
      <w:bookmarkEnd w:id="1"/>
    </w:p>
    <w:p w:rsidR="00CE2C15" w:rsidRDefault="009B17E6" w:rsidP="00CE2C15">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14</w:t>
      </w:r>
      <w:r w:rsidR="00CE2C15">
        <w:rPr>
          <w:rFonts w:ascii="Georgia" w:hAnsi="Georgia"/>
          <w:b/>
          <w:bCs/>
          <w:color w:val="000000"/>
          <w:sz w:val="27"/>
          <w:szCs w:val="27"/>
        </w:rPr>
        <w:t>.1. Поняття і сутність криміналістичної версії, класифікація криміналістичних версій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Однією з особливостей пізнавального процесу при розслідуванні кримінальних правопорушень є встановлення об’єктивних обставин кримінального провадження, тобто з’ясування усіх обставин події кримінального правопорушення. Встановлення даних обставин відбувається шляхом побудови та перевірки криміналістичних версій різного виду.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Однією з форм пізнання невідомого є гіпотеза. За своєю природою версії з різновидом гіпотез.</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Криміналістична версія за своєю логічною природою є:</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самостійним різновидом гіпотези, яка використовується у розслідуванні;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пояснює пов’язані з подією кримінального правопорушення факти;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перевіряється у встановлені строки компетентними суб’єктами, встановленими законом методами і засобами.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Криміналістична версія</w:t>
      </w:r>
      <w:r>
        <w:rPr>
          <w:rFonts w:ascii="Georgia" w:hAnsi="Georgia"/>
          <w:color w:val="000000"/>
          <w:sz w:val="27"/>
          <w:szCs w:val="27"/>
        </w:rPr>
        <w:t> – це обґрунтоване припущення, що стосується сутності розслідуваного кримінального правопорушення або його окремих обставин, що має значення для його розслідування, і пояснює походження, зміст і зв’язок між цими обставинами.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Криміналістична версія повинна відповідати ряду ознак: бути реальною; можливою для перевірки; обґрунтованою встановленими фактами; відносно простою, із чіткою та однозначною формулою; мати відношення до більш широкого кола фактів, що встановлюються в процесі розслідування кримінального правопорушення.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У зв’язку із складною внутрішньою структурою, криміналістичні версії можна класифікувати за різними підставами: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1. </w:t>
      </w:r>
      <w:r>
        <w:rPr>
          <w:rFonts w:ascii="Georgia" w:hAnsi="Georgia"/>
          <w:i/>
          <w:iCs/>
          <w:color w:val="000000"/>
          <w:sz w:val="27"/>
          <w:szCs w:val="27"/>
        </w:rPr>
        <w:t>За суб’єктом висунення</w:t>
      </w:r>
      <w:r>
        <w:rPr>
          <w:rFonts w:ascii="Georgia" w:hAnsi="Georgia"/>
          <w:color w:val="000000"/>
          <w:sz w:val="27"/>
          <w:szCs w:val="27"/>
        </w:rPr>
        <w:t>: версії слідчого, прокурора, співробітника оперативного підрозділу, експерта, суду.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Поділ криміналістичних версій за даною класифікаційною ознакою має дещо умовний характер: адже види версій можуть трансформуватися одна в одну, чи навіть об’єднуватися для вирішення спільних завдань. Версія співробітника оперативного підрозділу може трансформуватися у слідчу і знову перевірятися оперативником; ймовірний висновок експерта, що є різновидом експертної версії, може бути використаний слідчим як орієнтуюча інформація і перевірена ним при проведенні слідчих (розшукових) дій.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2. </w:t>
      </w:r>
      <w:r>
        <w:rPr>
          <w:rFonts w:ascii="Georgia" w:hAnsi="Georgia"/>
          <w:i/>
          <w:iCs/>
          <w:color w:val="000000"/>
          <w:sz w:val="27"/>
          <w:szCs w:val="27"/>
        </w:rPr>
        <w:t>За ступенем (мірою) визначеності висунутих припущень</w:t>
      </w:r>
      <w:r>
        <w:rPr>
          <w:rFonts w:ascii="Georgia" w:hAnsi="Georgia"/>
          <w:color w:val="000000"/>
          <w:sz w:val="27"/>
          <w:szCs w:val="27"/>
        </w:rPr>
        <w:t>: типові та конкретні (специфічні).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Типові версії</w:t>
      </w:r>
      <w:r>
        <w:rPr>
          <w:rFonts w:ascii="Georgia" w:hAnsi="Georgia"/>
          <w:color w:val="000000"/>
          <w:sz w:val="27"/>
          <w:szCs w:val="27"/>
        </w:rPr>
        <w:t xml:space="preserve">, які висуваються за умови недостатності вихідних даних, найчастіше на початковому етапі розслідування кримінальних правопорушень дають загальне, приблизне пояснення наявних даних. Під час наступної перевірки помилкові варіанти відкидаються, а </w:t>
      </w:r>
      <w:r>
        <w:rPr>
          <w:rFonts w:ascii="Georgia" w:hAnsi="Georgia"/>
          <w:color w:val="000000"/>
          <w:sz w:val="27"/>
          <w:szCs w:val="27"/>
        </w:rPr>
        <w:lastRenderedPageBreak/>
        <w:t>підтверджена типова версія деталізується й конкретизується, на її основі будуються </w:t>
      </w:r>
      <w:r>
        <w:rPr>
          <w:rFonts w:ascii="Georgia" w:hAnsi="Georgia"/>
          <w:i/>
          <w:iCs/>
          <w:color w:val="000000"/>
          <w:sz w:val="27"/>
          <w:szCs w:val="27"/>
        </w:rPr>
        <w:t>конкретні версії</w:t>
      </w:r>
      <w:r>
        <w:rPr>
          <w:rFonts w:ascii="Georgia" w:hAnsi="Georgia"/>
          <w:color w:val="000000"/>
          <w:sz w:val="27"/>
          <w:szCs w:val="27"/>
        </w:rPr>
        <w:t>. Провідне значення для побудови типових версій відіграє теоретична база, тоді як для конкретних версій – фактична база. Типовій слідчій ситуації відповідають типові криміналістичні версії, які перевіряються при проведенні типових слідчих (розшукових), негласних слідчих (розшукових) дій, інших процесуальних дій, оперативно-розшукових заходів.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3. </w:t>
      </w:r>
      <w:r>
        <w:rPr>
          <w:rFonts w:ascii="Georgia" w:hAnsi="Georgia"/>
          <w:i/>
          <w:iCs/>
          <w:color w:val="000000"/>
          <w:sz w:val="27"/>
          <w:szCs w:val="27"/>
        </w:rPr>
        <w:t>За об’ємом пояснення фактів</w:t>
      </w:r>
      <w:r>
        <w:rPr>
          <w:rFonts w:ascii="Georgia" w:hAnsi="Georgia"/>
          <w:color w:val="000000"/>
          <w:sz w:val="27"/>
          <w:szCs w:val="27"/>
        </w:rPr>
        <w:t>: загальні та окремі.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Загальні версії</w:t>
      </w:r>
      <w:r>
        <w:rPr>
          <w:rFonts w:ascii="Georgia" w:hAnsi="Georgia"/>
          <w:color w:val="000000"/>
          <w:sz w:val="27"/>
          <w:szCs w:val="27"/>
        </w:rPr>
        <w:t> пояснюють сутність і зміст всієї розслідуваної події, а </w:t>
      </w:r>
      <w:r>
        <w:rPr>
          <w:rFonts w:ascii="Georgia" w:hAnsi="Georgia"/>
          <w:i/>
          <w:iCs/>
          <w:color w:val="000000"/>
          <w:sz w:val="27"/>
          <w:szCs w:val="27"/>
        </w:rPr>
        <w:t>окремі</w:t>
      </w:r>
      <w:r>
        <w:rPr>
          <w:rFonts w:ascii="Georgia" w:hAnsi="Georgia"/>
          <w:color w:val="000000"/>
          <w:sz w:val="27"/>
          <w:szCs w:val="27"/>
        </w:rPr>
        <w:t> – лише окремі її елементи (спосіб вчинення кримінального правопорушення, його суб’єкт та ін.).</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розслідуванні конкретного кримінального правопорушення загальні та окремі версії утворюють систему: висувається декілька загальних версій, які, в свою чергу, обумовлюють відповідну систему окремих версій; слід пам’ятати, що жодна окрема версія не повинна суперечити загальній.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4. </w:t>
      </w:r>
      <w:r>
        <w:rPr>
          <w:rFonts w:ascii="Georgia" w:hAnsi="Georgia"/>
          <w:i/>
          <w:iCs/>
          <w:color w:val="000000"/>
          <w:sz w:val="27"/>
          <w:szCs w:val="27"/>
        </w:rPr>
        <w:t>За ступенем ймовірності</w:t>
      </w:r>
      <w:r>
        <w:rPr>
          <w:rFonts w:ascii="Georgia" w:hAnsi="Georgia"/>
          <w:color w:val="000000"/>
          <w:sz w:val="27"/>
          <w:szCs w:val="27"/>
        </w:rPr>
        <w:t>: малоймовірні та найбільш ймовірні.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Подібний поділ проводиться суб’єктом висунення версії і залежить від наявної доказової інформації, результату його власного оцінювання виходячи із набутих знань, умінь та навичок. Однак незалежно від міри ймовірності тієї чи іншої версії, їх необхідно перевіряти паралельно. Інколи відпрацювання саме малоймовірних версій приводить до результату.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5. </w:t>
      </w:r>
      <w:r>
        <w:rPr>
          <w:rFonts w:ascii="Georgia" w:hAnsi="Georgia"/>
          <w:i/>
          <w:iCs/>
          <w:color w:val="000000"/>
          <w:sz w:val="27"/>
          <w:szCs w:val="27"/>
        </w:rPr>
        <w:t>За часом побудови</w:t>
      </w:r>
      <w:r>
        <w:rPr>
          <w:rFonts w:ascii="Georgia" w:hAnsi="Georgia"/>
          <w:color w:val="000000"/>
          <w:sz w:val="27"/>
          <w:szCs w:val="27"/>
        </w:rPr>
        <w:t>: первинні й наступні.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Вказані версії потребують рівнозначної уваги, без будь-яких переваг. Адже нерідко у процесі розслідування, особливо при відновленні кримінального провадження, у якому досудове розслідування було зупинено, приходиться повертатися до «старих», тобто первинних версій.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6. </w:t>
      </w:r>
      <w:r>
        <w:rPr>
          <w:rFonts w:ascii="Georgia" w:hAnsi="Georgia"/>
          <w:i/>
          <w:iCs/>
          <w:color w:val="000000"/>
          <w:sz w:val="27"/>
          <w:szCs w:val="27"/>
        </w:rPr>
        <w:t>Відносно предмета доказування</w:t>
      </w:r>
      <w:r>
        <w:rPr>
          <w:rFonts w:ascii="Georgia" w:hAnsi="Georgia"/>
          <w:color w:val="000000"/>
          <w:sz w:val="27"/>
          <w:szCs w:val="27"/>
        </w:rPr>
        <w:t>: обвинувальні та виправдовувальні.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Обвинувальна версія</w:t>
      </w:r>
      <w:r>
        <w:rPr>
          <w:rFonts w:ascii="Georgia" w:hAnsi="Georgia"/>
          <w:color w:val="000000"/>
          <w:sz w:val="27"/>
          <w:szCs w:val="27"/>
        </w:rPr>
        <w:t> – це лише одне із пояснень вчиненого злочинного діяння, альтернативою якого є </w:t>
      </w:r>
      <w:r>
        <w:rPr>
          <w:rFonts w:ascii="Georgia" w:hAnsi="Georgia"/>
          <w:i/>
          <w:iCs/>
          <w:color w:val="000000"/>
          <w:sz w:val="27"/>
          <w:szCs w:val="27"/>
        </w:rPr>
        <w:t>виправдовувальна версія </w:t>
      </w:r>
      <w:r>
        <w:rPr>
          <w:rFonts w:ascii="Georgia" w:hAnsi="Georgia"/>
          <w:color w:val="000000"/>
          <w:sz w:val="27"/>
          <w:szCs w:val="27"/>
        </w:rPr>
        <w:t>(контрверсія), яка припускає невинуватість особи. Обидві версії потребують рівнозначної об’єктивної перевірки.</w:t>
      </w:r>
      <w:bookmarkStart w:id="2" w:name="2"/>
      <w:bookmarkEnd w:id="2"/>
    </w:p>
    <w:p w:rsidR="00CE2C15" w:rsidRDefault="009B17E6" w:rsidP="00CE2C15">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14</w:t>
      </w:r>
      <w:r w:rsidR="00CE2C15">
        <w:rPr>
          <w:rFonts w:ascii="Georgia" w:hAnsi="Georgia"/>
          <w:b/>
          <w:bCs/>
          <w:color w:val="000000"/>
          <w:sz w:val="27"/>
          <w:szCs w:val="27"/>
        </w:rPr>
        <w:t>.2. Стадії, методи побудови та перевірки версій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Побудова криміналістичних версій </w:t>
      </w:r>
      <w:r>
        <w:rPr>
          <w:rFonts w:ascii="Georgia" w:hAnsi="Georgia"/>
          <w:color w:val="000000"/>
          <w:sz w:val="27"/>
          <w:szCs w:val="27"/>
        </w:rPr>
        <w:t>починається з моменту отримання вихідної інформації про кримінальне правопорушення та проходить такі етапи: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отримання вихідної інформації та її аналіз;</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формування версії;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перевірка версії (у цьому разі підтверджується або спростовується криміналістична версія).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Найбільш інтенсивна побудова версій відбувається в період проведення першочергових слідчих (розшукових) дій, інших заходів, коли висунення версій і їх перевірка відбувається практично паралельно. Побудова версії ґрунтується на аналізі вихідної слідчої ситуації і криміналістичної характеристики злочину.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Отримання вихідної інформації.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Версія буде достатньо обґрунтованою, лише спираючись на конкретні фактичні дані. Кількість версій також залежить від об’єму та достовірності наявної інформації.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Джерела вихідної можуть бути як процесуальними, так і оперативними. До перших на стадії внесення відповідних відомостей до Єдиного реєстру досудових розслідувань та початку розслідування, відносяться заяви, повідомлення про вчинене кримінальне правопорушення або самостійне виявлення слідчим, прокурором, іншими компетентними суб’єктами з будь-якого джерела обставин, що можуть свідчити про вчинення кримінального правопорушення. Також до даної групи відносяться інші джерела, визначені кримінальним процесуальним законодавством (наприклад, протокол огляду місця події).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У процесі досудового розслідування слідчий отримує криміналістично значиму інформацію із показань свідків, потерпілих, підозрюваних, висновків експертів, речових доказів, протоколів слідчих (розшукових), негласних слідчих (розшукових) дій та інших документів. Непроцесуальні джерела можуть бути гласні (матеріали преси, перевірок, інформація, надана представниками громадськості) та негласні – результати оперативно-розшукових заходів.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Головними для побудови криміналістичних версій є група логічних методів.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Аналіз вихідної інформації включає </w:t>
      </w:r>
      <w:r>
        <w:rPr>
          <w:rFonts w:ascii="Georgia" w:hAnsi="Georgia"/>
          <w:i/>
          <w:iCs/>
          <w:color w:val="000000"/>
          <w:sz w:val="27"/>
          <w:szCs w:val="27"/>
        </w:rPr>
        <w:t>аналіз</w:t>
      </w:r>
      <w:r>
        <w:rPr>
          <w:rFonts w:ascii="Georgia" w:hAnsi="Georgia"/>
          <w:color w:val="000000"/>
          <w:sz w:val="27"/>
          <w:szCs w:val="27"/>
        </w:rPr>
        <w:t> отриманої інформації та упорядкування встановлених фактів у систему </w:t>
      </w:r>
      <w:r>
        <w:rPr>
          <w:rFonts w:ascii="Georgia" w:hAnsi="Georgia"/>
          <w:i/>
          <w:iCs/>
          <w:color w:val="000000"/>
          <w:sz w:val="27"/>
          <w:szCs w:val="27"/>
        </w:rPr>
        <w:t>(синтез) </w:t>
      </w:r>
      <w:r>
        <w:rPr>
          <w:rFonts w:ascii="Georgia" w:hAnsi="Georgia"/>
          <w:color w:val="000000"/>
          <w:sz w:val="27"/>
          <w:szCs w:val="27"/>
        </w:rPr>
        <w:t>. Логічний аналіз передбачає розподіл предмету на складові частини чи виділення його ознак для окремого вивчення як частин цілого. Синтез полягає в об’єднанні окремих елементів досліджуваного об’єкта в єдине ціле. Являючись за своєю сутністю операціями протилежного характеру, аналіз і синтез при побудові криміналістичної версії взаємно доповнюють один одного, допомагаючи слідчому накопичувати потрібну інформацію, систематизувати й оцінювати її.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побудові версій використовуються і такі логічні методи, як </w:t>
      </w:r>
      <w:r>
        <w:rPr>
          <w:rFonts w:ascii="Georgia" w:hAnsi="Georgia"/>
          <w:i/>
          <w:iCs/>
          <w:color w:val="000000"/>
          <w:sz w:val="27"/>
          <w:szCs w:val="27"/>
        </w:rPr>
        <w:t>індукція</w:t>
      </w:r>
      <w:r>
        <w:rPr>
          <w:rFonts w:ascii="Georgia" w:hAnsi="Georgia"/>
          <w:color w:val="000000"/>
          <w:sz w:val="27"/>
          <w:szCs w:val="27"/>
        </w:rPr>
        <w:t> і </w:t>
      </w:r>
      <w:r>
        <w:rPr>
          <w:rFonts w:ascii="Georgia" w:hAnsi="Georgia"/>
          <w:i/>
          <w:iCs/>
          <w:color w:val="000000"/>
          <w:sz w:val="27"/>
          <w:szCs w:val="27"/>
        </w:rPr>
        <w:t>дедукція</w:t>
      </w:r>
      <w:r>
        <w:rPr>
          <w:rFonts w:ascii="Georgia" w:hAnsi="Georgia"/>
          <w:color w:val="000000"/>
          <w:sz w:val="27"/>
          <w:szCs w:val="27"/>
        </w:rPr>
        <w:t>.</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Індукція – умовивід, що будується від окремих посилань до загального висновку. Наприклад, із факту написання декількох документів один почерком випливає висновок, що їх виконавцем є одна людина.</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Дедукція передбачає виведення окремих наслідків із загального положення. Так, якщо відомо, що злочинець був озброєний пістолетом «ТТ», то у місцях його застосування слід шукати відповідні пулі та гільзи.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Умовивід може бути зроблений і за </w:t>
      </w:r>
      <w:r>
        <w:rPr>
          <w:rFonts w:ascii="Georgia" w:hAnsi="Georgia"/>
          <w:i/>
          <w:iCs/>
          <w:color w:val="000000"/>
          <w:sz w:val="27"/>
          <w:szCs w:val="27"/>
        </w:rPr>
        <w:t>аналогією</w:t>
      </w:r>
      <w:r>
        <w:rPr>
          <w:rFonts w:ascii="Georgia" w:hAnsi="Georgia"/>
          <w:color w:val="000000"/>
          <w:sz w:val="27"/>
          <w:szCs w:val="27"/>
        </w:rPr>
        <w:t>, коли при розгляді однорідних явищ у одного із них на підставі подібності передбачають ознаки іншого.</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Джерелами аналогії при конструюванні версій можуть бути: теоретичні напрацювання щодо методики розслідування певного виду злочину; власний досвід слідчого, інших компетентних осіб; оперативні й слідчі матеріали щодо подібних нерозкритих кримінальних правопорушень та ін.</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У процесі конструювання криміналістичних версій за аналогією великого значення набуває аналіз способу вчинення кримінального правопорушення, оскільки він найбільш виразно характеризує його механізм.</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Формування версій</w:t>
      </w:r>
      <w:r>
        <w:rPr>
          <w:rFonts w:ascii="Georgia" w:hAnsi="Georgia"/>
          <w:color w:val="000000"/>
          <w:sz w:val="27"/>
          <w:szCs w:val="27"/>
        </w:rPr>
        <w:t xml:space="preserve">. До криміналістичних версій пред’являються дві основні вимоги: обґрунтованість і охоплення всіх реально можливих пояснень події, що відбулася. Обґрунтованість версії означає, що припущення слідчого повинно базуватися на надійній інформації. Версія </w:t>
      </w:r>
      <w:r>
        <w:rPr>
          <w:rFonts w:ascii="Georgia" w:hAnsi="Georgia"/>
          <w:color w:val="000000"/>
          <w:sz w:val="27"/>
          <w:szCs w:val="27"/>
        </w:rPr>
        <w:lastRenderedPageBreak/>
        <w:t>не може бути витвором фантазії, в її основі можуть бути лише перевірені фактичні дані.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Не менш важливим є охоплення версіями всіх реально можливих пояснень досліджуваних фактів.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Формулюється версія у вигляді позитивного судження, істинність якого перевіряється під час проведення слідчих (розшукових) дій, негласних слідчих (розшукових) дій, інших процесуальних дій, оперативно-розшукових заходів. Кожна із висунутих у кримінальному провадженні версій формується окремо.</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Перевірка криміналістичних версій</w:t>
      </w:r>
      <w:r>
        <w:rPr>
          <w:rFonts w:ascii="Georgia" w:hAnsi="Georgia"/>
          <w:color w:val="000000"/>
          <w:sz w:val="27"/>
          <w:szCs w:val="27"/>
        </w:rPr>
        <w:t> – це діяльність, спрямована на встановлення фактичних обставин, що підтверджують чи спростовують припущення, що складає зміст версії. Зазвичай перевірка версії включає:</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виведення із версії всіх можливих наслідків, тобто формування суджень (висновків, умовиводів) про обставини, які ще не установлені, але можливі;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визначення методів, засобів, прийомів виведення із версії наслідків;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практичну реалізацію плану розслідування шляхом проведення слідчих (розшукових) дій, негласних слідчих (розшукових) дій, інших процесуальних дій, оперативно-розшукових заходів для отримання даних, підтверджуючих чи спростовуючих версію;</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оцінку всіх зібраних доказів, що підтверджують висновок про істинність однієї та хибність інших версій.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Висновок про хибність якої-небудь із висунутих версій може ґрунтуватися як на процесуальних, так і перевірених оперативних даних. Для висновку про достовірність криміналістичної версії необхідно отримати достатню сукупність процесуальних доказів, котрі б виключали інше пояснення обставин кримінального правопорушення. Ця сукупність доказів повинна містити об’єктивну і всебічну характеристику всіх обставин, які підлягають встановленню під час розслідування.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Перевірку всіх висунутих версій слід здійснювати паралельно, без надання переваг будь-якій із них.</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Перевірка версій вважається закінченою лише в тому випадку, коли зібрана сукупність доказів, яка вичерпно встановлює всі передбачені </w:t>
      </w:r>
      <w:r>
        <w:rPr>
          <w:rFonts w:ascii="Georgia" w:hAnsi="Georgia"/>
          <w:color w:val="000000"/>
          <w:sz w:val="27"/>
          <w:szCs w:val="27"/>
        </w:rPr>
        <w:lastRenderedPageBreak/>
        <w:t>законом обставини і виключає будь-які інші пояснення розслідуваного кримінального правопорушення.</w:t>
      </w:r>
      <w:bookmarkStart w:id="3" w:name="3"/>
      <w:bookmarkEnd w:id="3"/>
    </w:p>
    <w:p w:rsidR="00CE2C15" w:rsidRDefault="009B17E6" w:rsidP="00CE2C15">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14</w:t>
      </w:r>
      <w:r w:rsidR="00CE2C15">
        <w:rPr>
          <w:rFonts w:ascii="Georgia" w:hAnsi="Georgia"/>
          <w:b/>
          <w:bCs/>
          <w:color w:val="000000"/>
          <w:sz w:val="27"/>
          <w:szCs w:val="27"/>
        </w:rPr>
        <w:t>.3. Зміст організації розслідування, його принципи та рівні реалізації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Організація як наукова категорія означає «внутрішню упорядкованість, узгодженість взаємодії ... частин цілого». Організувати – «внести у що-небудь певний порядок, планомірність, узгодити». Всі наведені у словниках значення терміну «організація» логічно входять до криміналістичного визначення поняття організації, але не вичерпують його змісту.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У криміналістиці під </w:t>
      </w:r>
      <w:r>
        <w:rPr>
          <w:rFonts w:ascii="Georgia" w:hAnsi="Georgia"/>
          <w:i/>
          <w:iCs/>
          <w:color w:val="000000"/>
          <w:sz w:val="27"/>
          <w:szCs w:val="27"/>
        </w:rPr>
        <w:t>організацією</w:t>
      </w:r>
      <w:r>
        <w:rPr>
          <w:rFonts w:ascii="Georgia" w:hAnsi="Georgia"/>
          <w:color w:val="000000"/>
          <w:sz w:val="27"/>
          <w:szCs w:val="27"/>
        </w:rPr>
        <w:t> розуміється узгоджені та врегульовані дії суб’єктів досудового розслідування і взаємодіючих з ними органів і осіб для ефективного попередження та розслідування кримінальних правопорушень.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Організація діяльності за своєю сутністю є розумовою, інтелектуально-вольовою діяльністю суб’єктів розслідування. Організувати будь-яку діяльність, в тому числі і розслідування – це належним чином підготувати її, налагодити, визначити засоби й методи, упорядкувати та спланувати.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Завданнями організації розслідування кримінальних правопорушень є:</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забезпечення узгодженості, упорядкованості і цілеспрямованості дій органів і осіб при вирішенні поставлених перед ними завдань;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забезпечення швидкого, повного і неупередженого розслідування кримінальних правопорушень.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Принципами організації розслідування кримінальних правопорушень є:</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законність;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оперативність;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компетентність;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ієрархічність.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Принцип </w:t>
      </w:r>
      <w:r>
        <w:rPr>
          <w:rFonts w:ascii="Georgia" w:hAnsi="Georgia"/>
          <w:i/>
          <w:iCs/>
          <w:color w:val="000000"/>
          <w:sz w:val="27"/>
          <w:szCs w:val="27"/>
        </w:rPr>
        <w:t>законності</w:t>
      </w:r>
      <w:r>
        <w:rPr>
          <w:rFonts w:ascii="Georgia" w:hAnsi="Georgia"/>
          <w:color w:val="000000"/>
          <w:sz w:val="27"/>
          <w:szCs w:val="27"/>
        </w:rPr>
        <w:t> полягає в тому, що при вирішенні питань організації розслідування кримінальних правопорушень слідчий, прокурор, суд, інші компетентні суб’єкти, повинні керуватися положеннями Конституції України, міжнародних договорів, згода на обов’язковість яких надана Верховною Радою України, Кримінального процесуального кодексу України, Кримінального кодексу України, Законів України «Про міліцію», «Про оперативно-розшукову діяльність», «Про судову експертизу», іншими законами України та підзаконними нормативно-правовими актами.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Принцип </w:t>
      </w:r>
      <w:r>
        <w:rPr>
          <w:rFonts w:ascii="Georgia" w:hAnsi="Georgia"/>
          <w:i/>
          <w:iCs/>
          <w:color w:val="000000"/>
          <w:sz w:val="27"/>
          <w:szCs w:val="27"/>
        </w:rPr>
        <w:t>оперативності</w:t>
      </w:r>
      <w:r>
        <w:rPr>
          <w:rFonts w:ascii="Georgia" w:hAnsi="Georgia"/>
          <w:color w:val="000000"/>
          <w:sz w:val="27"/>
          <w:szCs w:val="27"/>
        </w:rPr>
        <w:t> виражається в динамічності організації розслідування кримінальних правопорушень. Ефективність розслідування залежить не лише від правильності прийнятих рішень, але й від їх своєчасного та швидкого виконання.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Компетентність</w:t>
      </w:r>
      <w:r>
        <w:rPr>
          <w:rFonts w:ascii="Georgia" w:hAnsi="Georgia"/>
          <w:color w:val="000000"/>
          <w:sz w:val="27"/>
          <w:szCs w:val="27"/>
        </w:rPr>
        <w:t> як принцип організації означає наукову обґрунтованість організаційних рішень, прийнятих слідчим, прокурором, судом; знання і кваліфіковане застосування ними засобів, прийомів і методів криміналістичного забезпечення розслідування кримінальних правопорушень, прийняття рішень із врахуванням власної компетенції й компетенції інших суб’єктів, з якими здійснюється взаємодія.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Принцип компетентності тісно пов’язаний із принципом ієрархічності організаційної діяльності, що означає підпорядкованість різних рівнів організації розслідування кримінальних правопорушень. Вказане знаходить свій вираз стосовно діяльності слідчого судді, прокурора, керівника органу досудового розслідування, слідчого, співробітника оперативного підрозділу та ін. Розмежування організаційних функцій різних суб’єктів розслідування не повинно суперечити принципу самостійності та компетентності суб’єктів.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Організація розслідування загалом поєднує зусилля не тільки слідчого, інших суб’єктів, але й цілеспрямовану діяльність ряду державних структур. Таким чином, можна виділити рівні організації розслідування від загального до окремого:</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1. </w:t>
      </w:r>
      <w:r>
        <w:rPr>
          <w:rFonts w:ascii="Georgia" w:hAnsi="Georgia"/>
          <w:i/>
          <w:iCs/>
          <w:color w:val="000000"/>
          <w:sz w:val="27"/>
          <w:szCs w:val="27"/>
        </w:rPr>
        <w:t>Державний</w:t>
      </w:r>
      <w:r>
        <w:rPr>
          <w:rFonts w:ascii="Georgia" w:hAnsi="Georgia"/>
          <w:color w:val="000000"/>
          <w:sz w:val="27"/>
          <w:szCs w:val="27"/>
        </w:rPr>
        <w:t> – рівень діяльності компетентних органів держави як система заходів, що забезпечує ефективність функціонування елементів системи правоохоронних органів;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2. </w:t>
      </w:r>
      <w:r>
        <w:rPr>
          <w:rFonts w:ascii="Georgia" w:hAnsi="Georgia"/>
          <w:i/>
          <w:iCs/>
          <w:color w:val="000000"/>
          <w:sz w:val="27"/>
          <w:szCs w:val="27"/>
        </w:rPr>
        <w:t>Управлінський</w:t>
      </w:r>
      <w:r>
        <w:rPr>
          <w:rFonts w:ascii="Georgia" w:hAnsi="Georgia"/>
          <w:color w:val="000000"/>
          <w:sz w:val="27"/>
          <w:szCs w:val="27"/>
        </w:rPr>
        <w:t xml:space="preserve"> – рівень підрозділу досудового розслідування окремого відомства. Він охоплює комплекс заходів, які відповідають за оптимальну структуру органів розслідування, ефективність діяльності, </w:t>
      </w:r>
      <w:r>
        <w:rPr>
          <w:rFonts w:ascii="Georgia" w:hAnsi="Georgia"/>
          <w:color w:val="000000"/>
          <w:sz w:val="27"/>
          <w:szCs w:val="27"/>
        </w:rPr>
        <w:lastRenderedPageBreak/>
        <w:t>вдосконалення засобів та методів. Організація розслідування на даному рівні виступає як основна функція. Нагадаємо, що згідно ст. 38 КПК України, органами досудового розслідування (органами, що здійснюють дізнання і досудове слідство) є слідчі підрозділи: органів внутрішніх справ; органів безпеки; органів, що здійснюють контроль за додержанням податкового законодавства, органів державного бюро розслідувань. Згідно нового КПК України (розділу Х «Прикінцеві положення»), слідчі прокуратури будуть продовжувати здійснювати провадження досудового слідства до початку діяльності Державного бюро розслідувань України, але не пізніше п’яти років з дня набрання чинності КПК України (з 20 листопада 2012 року).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3. </w:t>
      </w:r>
      <w:r>
        <w:rPr>
          <w:rFonts w:ascii="Georgia" w:hAnsi="Georgia"/>
          <w:i/>
          <w:iCs/>
          <w:color w:val="000000"/>
          <w:sz w:val="27"/>
          <w:szCs w:val="27"/>
        </w:rPr>
        <w:t>Слідчо-оперативний</w:t>
      </w:r>
      <w:r>
        <w:rPr>
          <w:rFonts w:ascii="Georgia" w:hAnsi="Georgia"/>
          <w:color w:val="000000"/>
          <w:sz w:val="27"/>
          <w:szCs w:val="27"/>
        </w:rPr>
        <w:t> – рівень організації розслідування конкретного кримінального правопорушення. Це комплекс заходів, який забезпечує узгоджені та врегульовані дії суб’єктів досудового розслідування і взаємодіючих з ними органів і осіб для ефективного розслідування.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4. </w:t>
      </w:r>
      <w:r>
        <w:rPr>
          <w:rFonts w:ascii="Georgia" w:hAnsi="Georgia"/>
          <w:i/>
          <w:iCs/>
          <w:color w:val="000000"/>
          <w:sz w:val="27"/>
          <w:szCs w:val="27"/>
        </w:rPr>
        <w:t>Тактичний</w:t>
      </w:r>
      <w:r>
        <w:rPr>
          <w:rFonts w:ascii="Georgia" w:hAnsi="Georgia"/>
          <w:color w:val="000000"/>
          <w:sz w:val="27"/>
          <w:szCs w:val="27"/>
        </w:rPr>
        <w:t> – організація проведення окремої слідчої (розшукової), негласної слідчої (розшукової) дії, іншої процесуальної дії, оперативно-розшукового заходу.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Акцентуємо увагу на розгляді третього рівня організації розслідування – </w:t>
      </w:r>
      <w:r>
        <w:rPr>
          <w:rFonts w:ascii="Georgia" w:hAnsi="Georgia"/>
          <w:i/>
          <w:iCs/>
          <w:color w:val="000000"/>
          <w:sz w:val="27"/>
          <w:szCs w:val="27"/>
        </w:rPr>
        <w:t>організації розслідування конкретного кримінального правопорушення. </w:t>
      </w:r>
      <w:r>
        <w:rPr>
          <w:rFonts w:ascii="Georgia" w:hAnsi="Georgia"/>
          <w:color w:val="000000"/>
          <w:sz w:val="27"/>
          <w:szCs w:val="27"/>
        </w:rPr>
        <w:t>Він охоплює наступні заходи: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отримання вихідної інформації та оцінку слідчої ситуації;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конкретизація мети, завдань розслідування, створення уявної моделі майбутньої діяльності;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визначення сил і засобів для досягнення завдань розслідування;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створення оптимальних умов для проведення слідчих (розшукових) дій, негласних слідчих (розшукових) дій, оперативно-розшукових та інших заходів, спрямованих на з’ясування обставин кримінального провадження;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налагодження належної взаємодії слідчих, оперативних, експертно-криміналістичних підрозділів;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прийняття рішень організаційного характеру;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забезпечення кваліфікованого керівництва слідчо-оперативною групою;</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налагодження систематичного обміну інформацією та звітністю про результати роботи слідчо-оперативних груп і кожного слідчого;</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контроль за діяльністю з розслідування кримінальних правопорушень; аналіз її результатів;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матеріальне, науково-технічне, кадрове та інше ресурсне забезпечення.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Невід’ємною частиною організації розслідування кримінальних правопорушень є його </w:t>
      </w:r>
      <w:r>
        <w:rPr>
          <w:rFonts w:ascii="Georgia" w:hAnsi="Georgia"/>
          <w:i/>
          <w:iCs/>
          <w:color w:val="000000"/>
          <w:sz w:val="27"/>
          <w:szCs w:val="27"/>
        </w:rPr>
        <w:t>планування</w:t>
      </w:r>
      <w:r>
        <w:rPr>
          <w:rFonts w:ascii="Georgia" w:hAnsi="Georgia"/>
          <w:color w:val="000000"/>
          <w:sz w:val="27"/>
          <w:szCs w:val="27"/>
        </w:rPr>
        <w:t> – складна розумова діяльність, що спрямована на забезпечення найоптимальніших шляхів досягнення завдань розслідування.</w:t>
      </w:r>
      <w:bookmarkStart w:id="4" w:name="4"/>
      <w:bookmarkEnd w:id="4"/>
    </w:p>
    <w:p w:rsidR="00CE2C15" w:rsidRDefault="009B17E6" w:rsidP="00CE2C15">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14</w:t>
      </w:r>
      <w:r w:rsidR="00CE2C15">
        <w:rPr>
          <w:rFonts w:ascii="Georgia" w:hAnsi="Georgia"/>
          <w:b/>
          <w:bCs/>
          <w:color w:val="000000"/>
          <w:sz w:val="27"/>
          <w:szCs w:val="27"/>
        </w:rPr>
        <w:t>.4. Зміст планування розслідування, вимоги до різних видів планів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Планування – це складний розумовий процес, сутність якого полягає в визначенні напрямів та завдань розслідування, способів та засобів їх досягнення за раціональних витрат часу, сил і засобів.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Планування тісно пов’язано з організацією розслідування у конкретному кримінальному провадженні, під яким розуміють комплекс заходів для створення оптимальних умов його реалізації. Якщо сутність планування полягає в тому, щоб вірно окреслити програму дій під час досудового розслідування, організація розслідування полягає в забезпеченні реалізації наміченого плану. Планування та організація органічно зв’язані, так як перше передбачає здійснення другого. Разом з тим організація розслідування, особливо на першочерговому етапі, що пов’язана із проведенням першочергових та невідкладних слідчих (розшукових) дій, інших заходів, може існувати незалежно та передує плануванню. Проведення першочергових та невідкладних слідчих (розшукових) дій створює необхідну інформаційну базу для планування, є „матеріалом” для побудови криміналістичних версій, які як відомо, визначають напрямок планування.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Значення планування розслідування визначається важливістю завдань, які можуть бути вирішені з його допомогою, зокрема:</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визначення ефективних шляхів розслідування кримінальних правопорушень;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забезпечення об’єктивності, повноти та всебічності з’ясування всіх обставин кримінального правопорушення;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своєчасне та результативне застосування процесуальних, організаційно-технічних, техніко-криміналістичних заходів з урахуванням особливостей кожного провадження;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забезпечення найбільш ефективного поєднання всіх можливостей органів досудового розслідування та оперативних підрозділів для досягнення поставлених завдань;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сприяння економії сил і засобів органів досудового розслідування, інших правоохоронних підрозділів та ін.</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Плани за своїм змістом можуть відображати увесь процес розслідування або стосуватися його окремих епізодів, а також проведення окремих слідчих (розшукових) дій, негласних слідчих (розшукових) дій, інших процесуальних дій, оперативно-розшукових заходів. Усі вони спрямовані на досягнення певної поставленої мети: розслідування кримінального правопорушення; розслідування окремого епізоду складного, багатоепізодного кримінального правопорушення; отримання доказової інформації під час проведення окремих слідчих (розшукових) дій та ін.</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Планування передбачає складну інтелектуальну діяльність, що включає елементи </w:t>
      </w:r>
      <w:r>
        <w:rPr>
          <w:rFonts w:ascii="Georgia" w:hAnsi="Georgia"/>
          <w:i/>
          <w:iCs/>
          <w:color w:val="000000"/>
          <w:sz w:val="27"/>
          <w:szCs w:val="27"/>
        </w:rPr>
        <w:t>рефлексивного мислення</w:t>
      </w:r>
      <w:r>
        <w:rPr>
          <w:rFonts w:ascii="Georgia" w:hAnsi="Georgia"/>
          <w:color w:val="000000"/>
          <w:sz w:val="27"/>
          <w:szCs w:val="27"/>
        </w:rPr>
        <w:t>, тобто роздумів, що імітують мислення суб’єкта, інших осіб, пов’язаних із подією кримінального правопорушення причинно-наслідковими зв’язками.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Кожен вид планування особливий. Проте є певні загальні вимоги, яких слід дотримуватися під час будь-якого планування. Ці вимоги слід вважати </w:t>
      </w:r>
      <w:r>
        <w:rPr>
          <w:rFonts w:ascii="Georgia" w:hAnsi="Georgia"/>
          <w:i/>
          <w:iCs/>
          <w:color w:val="000000"/>
          <w:sz w:val="27"/>
          <w:szCs w:val="27"/>
        </w:rPr>
        <w:t>принципами планування</w:t>
      </w:r>
      <w:r>
        <w:rPr>
          <w:rFonts w:ascii="Georgia" w:hAnsi="Georgia"/>
          <w:color w:val="000000"/>
          <w:sz w:val="27"/>
          <w:szCs w:val="27"/>
        </w:rPr>
        <w:t>, до них відносяться законність, індивідуальність, динамічність, реальність та конкретність.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Законність </w:t>
      </w:r>
      <w:r>
        <w:rPr>
          <w:rFonts w:ascii="Georgia" w:hAnsi="Georgia"/>
          <w:color w:val="000000"/>
          <w:sz w:val="27"/>
          <w:szCs w:val="27"/>
        </w:rPr>
        <w:t>– вимога неухильного дотримання вимог кримінального процесуального законодавства України при складенні плану та його практичній реалізації.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Індивідуальність</w:t>
      </w:r>
      <w:r>
        <w:rPr>
          <w:rFonts w:ascii="Georgia" w:hAnsi="Georgia"/>
          <w:color w:val="000000"/>
          <w:sz w:val="27"/>
          <w:szCs w:val="27"/>
        </w:rPr>
        <w:t xml:space="preserve"> планування пов’язана із своєрідністю, неповторністю конкретного кримінального правопорушення, що слід </w:t>
      </w:r>
      <w:r>
        <w:rPr>
          <w:rFonts w:ascii="Georgia" w:hAnsi="Georgia"/>
          <w:color w:val="000000"/>
          <w:sz w:val="27"/>
          <w:szCs w:val="27"/>
        </w:rPr>
        <w:lastRenderedPageBreak/>
        <w:t>враховувати при складенні плану. Індивідуальність не виключає врахування загальних положень в типових ситуаціях. Загальні риси однорідних кримінальних правопорушень обумовлюють проведення на конкретних етапах розслідування аналогічних слідчих (розшукових) дій, інших заходів, що утворюють певний алгоритм дій. Однак індивідуальність кожного кримінального правопорушення вимагає й творчого підходу до складення плану, врахування загальних закономірностей та специфіки розслідуваної події. Іншими словами, поряд із алгоритмічним необхідний і творчий, евристичний підхід.</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Динамічність</w:t>
      </w:r>
      <w:r>
        <w:rPr>
          <w:rFonts w:ascii="Georgia" w:hAnsi="Georgia"/>
          <w:color w:val="000000"/>
          <w:sz w:val="27"/>
          <w:szCs w:val="27"/>
        </w:rPr>
        <w:t> передбачає підхід до розслідування та його планування як до процесу, що розвивається.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розслідування постійно надходить нова інформація, з’ясовуються нові обставини. Тому частина запланованих дій втрачає зміст, виникає потреба у додаткових заходах. Динаміка розслідування вимагає рухливості плану, його відповідності новій обстановці та новим завданням.</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Реальність</w:t>
      </w:r>
      <w:r>
        <w:rPr>
          <w:rFonts w:ascii="Georgia" w:hAnsi="Georgia"/>
          <w:color w:val="000000"/>
          <w:sz w:val="27"/>
          <w:szCs w:val="27"/>
        </w:rPr>
        <w:t> плану – передбачає його збалансованість за ресурсами та лімітом часу. Перше означає, що об’єм включених у план дій необхідно забезпечити необхідними силами і засобами. Збалансованість за часом полягає у виконанні певної кількості дій за відрізок часу. План повинен бути інтенсивним, але в межах реальних можливостей слідчого. В іншому випадку план не буде засобом чіткої організації роботи, частина заходів залишиться невиконаними, що негативно відобразиться на якості розслідування. А якщо будуть намічені практично нереальні дії та строки їх виконання, то розслідування кримінального правопорушення відразу спіткає невдача.</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Конкретність</w:t>
      </w:r>
      <w:r>
        <w:rPr>
          <w:rFonts w:ascii="Georgia" w:hAnsi="Georgia"/>
          <w:color w:val="000000"/>
          <w:sz w:val="27"/>
          <w:szCs w:val="27"/>
        </w:rPr>
        <w:t> передбачає чітке формулювання в плані завдань, які необхідно вирішити під час розслідування, відповідних дій, строків та виконавців.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Методика планування.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Існує декілька рівнів планування: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планування роботи слідчого (календарний план);</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планування розслідування кримінального правопорушення;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планування початкового, наступного, заключного етапів розслідування;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планування проведення слідчої (розшукової), негласної слідчої (розшукової) дії, інших процесуальних дій та оперативно-розшукових заходів;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планування застосування тактичного прийому.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Розглянемо найпоширеніший вид планування – </w:t>
      </w:r>
      <w:r>
        <w:rPr>
          <w:rFonts w:ascii="Georgia" w:hAnsi="Georgia"/>
          <w:i/>
          <w:iCs/>
          <w:color w:val="000000"/>
          <w:sz w:val="27"/>
          <w:szCs w:val="27"/>
        </w:rPr>
        <w:t>планування розслідування кримінального правопорушення</w:t>
      </w:r>
      <w:r>
        <w:rPr>
          <w:rFonts w:ascii="Georgia" w:hAnsi="Georgia"/>
          <w:color w:val="000000"/>
          <w:sz w:val="27"/>
          <w:szCs w:val="27"/>
        </w:rPr>
        <w:t>. Вказане є багатоетапним процесом, в якому можна виділити ряд загальних структурних елементів. До них відносяться отримання вихідних даних, визначення завдань розслідування, слідчих (розшукових) дій, негласних слідчих (розшукових) дій, інших процесуальних дій, оперативно-розшукових заходів, необхідних для їх вирішення, встановлення черговості, строків і виконавців намічених заходів, оформлення плану розслідування.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1. </w:t>
      </w:r>
      <w:r>
        <w:rPr>
          <w:rFonts w:ascii="Georgia" w:hAnsi="Georgia"/>
          <w:i/>
          <w:iCs/>
          <w:color w:val="000000"/>
          <w:sz w:val="27"/>
          <w:szCs w:val="27"/>
        </w:rPr>
        <w:t>Отримання вихідних даних</w:t>
      </w:r>
      <w:r>
        <w:rPr>
          <w:rFonts w:ascii="Georgia" w:hAnsi="Georgia"/>
          <w:color w:val="000000"/>
          <w:sz w:val="27"/>
          <w:szCs w:val="27"/>
        </w:rPr>
        <w:t> означає аналіз матеріалів кримінальної провадження для формування чіткого уявлення про наявні докази, визначення, які із них потребують додаткової перевірки, можуть сприяти отриманню нової доказової інформації. Також слід ознайомитися із даними, отриманими за результатами проведення оперативно-розшукових заходів, і з’ясувати, які методичні матеріали та рекомендації наводяться у криміналістичній літературі з питань розслідування певного виду чи групи кримінальних правопорушень.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2. </w:t>
      </w:r>
      <w:r>
        <w:rPr>
          <w:rFonts w:ascii="Georgia" w:hAnsi="Georgia"/>
          <w:i/>
          <w:iCs/>
          <w:color w:val="000000"/>
          <w:sz w:val="27"/>
          <w:szCs w:val="27"/>
        </w:rPr>
        <w:t>Визначення завдань розслідування</w:t>
      </w:r>
      <w:r>
        <w:rPr>
          <w:rFonts w:ascii="Georgia" w:hAnsi="Georgia"/>
          <w:color w:val="000000"/>
          <w:sz w:val="27"/>
          <w:szCs w:val="27"/>
        </w:rPr>
        <w:t> спрямоване на з’ясування обставин, які необхідно встановити у кримінальному провадженні. Визначення завдань розслідування розпочинається із встановлення обставин, які повинні бути за вірності версії. Наприклад, перевіряється заява громадянки про її пограбування невідомим чоловіком, якому вона чинила опір. При затриманні підозрюваного у вчиненні злочину громадянина (у порядку ст. 208 КПК України), була висунута версія про його причетність до пограбування. Якщо версія вірна, то:</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на одязі і тілі підозрюваного повинні бути сліди опору потерпілої (розірваний одяг, пошкодження та тілі);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у підозрюваного можуть знаходитися гроші, цінності, особисті речі потерпілої;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на місці злочину повинні залишитися сліди перебування потерпілої та підозрюваного, сліди їх боротьби та ін.</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Виходячи із наведеного, перед слідчим постає завдання – перевірити наявність слідів та тілі та одязі підозрюваного, потерпілої, встановити місцезнаходження предметів злочинного посягання та слідів на місці злочину.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3. </w:t>
      </w:r>
      <w:r>
        <w:rPr>
          <w:rFonts w:ascii="Georgia" w:hAnsi="Georgia"/>
          <w:i/>
          <w:iCs/>
          <w:color w:val="000000"/>
          <w:sz w:val="27"/>
          <w:szCs w:val="27"/>
        </w:rPr>
        <w:t>Визначення необхідних слідчих (розшукових), негласних слідчих (розшукових) дій, інших процесуальних дій, оперативно-розшукових заходів </w:t>
      </w:r>
      <w:r>
        <w:rPr>
          <w:rFonts w:ascii="Georgia" w:hAnsi="Georgia"/>
          <w:color w:val="000000"/>
          <w:sz w:val="27"/>
          <w:szCs w:val="27"/>
        </w:rPr>
        <w:t>відбувається із врахуванням обставин кримінального провадження, криміналістичної характеристики розслідуваного кримінального правопорушення, наявної слідчої ситуації.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Виходячи із наведеного вище прикладу, це, наприклад, може бути огляд місця події, допит, освідування підозрюваного, обшук, пред’явлення для впізнання.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плануванні розслідування також слід враховувати ряд загальних рекомендацій: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план розслідування кримінального правопорушення слід складати із розрахунком, щоб намічені слідчі (розшукові), негласні слідчі (розшукові) дії, оперативно-розшукові заходи та ін. гарантували ґрунтовну перевірку всіх висунутих версій, вирішення поставлених завдань;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в план включаються лише ті дії та заходи, які гарантують досягнення об’єктивного результату;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заплановані заходи повинні забезпечувати достовірне встановлення всіх обставин, які підлягають встановленню у кримінальному провадженні.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4. </w:t>
      </w:r>
      <w:r>
        <w:rPr>
          <w:rFonts w:ascii="Georgia" w:hAnsi="Georgia"/>
          <w:i/>
          <w:iCs/>
          <w:color w:val="000000"/>
          <w:sz w:val="27"/>
          <w:szCs w:val="27"/>
        </w:rPr>
        <w:t>Встановлення послідовності, строків і виконавців намічених слідчих (розшукових), негласних слідчих (розшукових) дій, інших процесуальних дій, оперативно-розшукових заходів </w:t>
      </w:r>
      <w:r>
        <w:rPr>
          <w:rFonts w:ascii="Georgia" w:hAnsi="Georgia"/>
          <w:color w:val="000000"/>
          <w:sz w:val="27"/>
          <w:szCs w:val="27"/>
        </w:rPr>
        <w:t>повинно забезпечити паралельне відпрацювання висунутих версій і закінчення розслідування у встановлені строки. Необхідно своєчасно враховувати характер і значення запланованих дій з виявлення і фіксації речових доказів, недопущення спроб підозрюваного ухилитися від слідства і суду, вчинити нові кримінальні правопорушення. Також приділяється увага встановленню причин і умов, що сприяли злочинній діяльності.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У нашому прикладі, щодо плану розслідування грабежу, слід перебачити доцільність залучення співробітників оперативних підрозділів. Їм слід доручити зібрання оперативної інформації про підозрюваного, забезпечити її перевірку за криміналістичними обліками; за наявності даних про систематичне зайняття злочинною діяльністю, встановити місце збуту викраденого, співучасників злочинних дій та ін. Необхідно вжити заходів щодо пошуку осіб, які можуть дати показання як свідки, були очевидцями вчинення грабежу або інших кримінальних правопорушень за участю підозрюваного.</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5. </w:t>
      </w:r>
      <w:r>
        <w:rPr>
          <w:rFonts w:ascii="Georgia" w:hAnsi="Georgia"/>
          <w:i/>
          <w:iCs/>
          <w:color w:val="000000"/>
          <w:sz w:val="27"/>
          <w:szCs w:val="27"/>
        </w:rPr>
        <w:t>Оформлення плану розслідування</w:t>
      </w:r>
      <w:r>
        <w:rPr>
          <w:rFonts w:ascii="Georgia" w:hAnsi="Georgia"/>
          <w:color w:val="000000"/>
          <w:sz w:val="27"/>
          <w:szCs w:val="27"/>
        </w:rPr>
        <w:t>. Підсумком розумової діяльної слідчого з визначення завдань розслідування і способів, методів та засобів їх досягнення, є складення письмового плану.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Єдиної і загальнообов’язкової форми плану розслідування немає. Інколи його складають у вигляді переліку запланованих заходів з вказівкою поставлених завдань, виконавців і строків виконання. На початку доцільно викласти коротку фабулу кримінального правопорушення.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Основою для складення плану розслідування може бути наведена таблиця:</w:t>
      </w:r>
    </w:p>
    <w:p w:rsidR="00CE2C15" w:rsidRDefault="00CE2C15" w:rsidP="00CE2C15">
      <w:pPr>
        <w:pStyle w:val="4"/>
        <w:spacing w:line="300" w:lineRule="atLeast"/>
        <w:ind w:left="450"/>
        <w:jc w:val="center"/>
        <w:rPr>
          <w:rFonts w:ascii="Helvetica" w:hAnsi="Helvetica"/>
          <w:color w:val="000000"/>
          <w:sz w:val="27"/>
          <w:szCs w:val="27"/>
        </w:rPr>
      </w:pPr>
      <w:r>
        <w:rPr>
          <w:rFonts w:ascii="Helvetica" w:hAnsi="Helvetica"/>
          <w:color w:val="000000"/>
          <w:sz w:val="27"/>
          <w:szCs w:val="27"/>
        </w:rPr>
        <w:t>ПЛАН РОЗСЛІДУВАННЯ</w:t>
      </w:r>
      <w:r>
        <w:rPr>
          <w:rFonts w:ascii="Helvetica" w:hAnsi="Helvetica"/>
          <w:color w:val="000000"/>
          <w:sz w:val="27"/>
          <w:szCs w:val="27"/>
        </w:rPr>
        <w:br/>
        <w:t>за кримінальним провадженням №______</w:t>
      </w:r>
      <w:r>
        <w:rPr>
          <w:rFonts w:ascii="Helvetica" w:hAnsi="Helvetica"/>
          <w:color w:val="000000"/>
          <w:sz w:val="27"/>
          <w:szCs w:val="27"/>
        </w:rPr>
        <w:br/>
        <w:t>за ст._____ ККУ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Стислий зміст провадження ______________________________________________</w:t>
      </w:r>
    </w:p>
    <w:tbl>
      <w:tblPr>
        <w:tblW w:w="14100" w:type="dxa"/>
        <w:jc w:val="center"/>
        <w:tblBorders>
          <w:top w:val="outset" w:sz="6" w:space="0" w:color="auto"/>
          <w:left w:val="outset" w:sz="6" w:space="0" w:color="auto"/>
          <w:bottom w:val="outset" w:sz="6" w:space="0" w:color="auto"/>
          <w:right w:val="outset" w:sz="6" w:space="0" w:color="auto"/>
        </w:tblBorders>
        <w:tblCellMar>
          <w:top w:w="15" w:type="dxa"/>
          <w:left w:w="450" w:type="dxa"/>
          <w:bottom w:w="15" w:type="dxa"/>
          <w:right w:w="450" w:type="dxa"/>
        </w:tblCellMar>
        <w:tblLook w:val="04A0" w:firstRow="1" w:lastRow="0" w:firstColumn="1" w:lastColumn="0" w:noHBand="0" w:noVBand="1"/>
      </w:tblPr>
      <w:tblGrid>
        <w:gridCol w:w="1268"/>
        <w:gridCol w:w="1651"/>
        <w:gridCol w:w="2343"/>
        <w:gridCol w:w="2579"/>
        <w:gridCol w:w="2207"/>
        <w:gridCol w:w="2388"/>
        <w:gridCol w:w="2034"/>
      </w:tblGrid>
      <w:tr w:rsidR="00CE2C15" w:rsidTr="00CE2C1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Версії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Обставини, що підлягають з’ясуванню</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Слідчі (розшукові), негласні слідчі (розшукові) дії, інші процесуальні дії, оперативно-розшукові заходи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Термін виконання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Виконавець</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Примітки</w:t>
            </w:r>
          </w:p>
        </w:tc>
      </w:tr>
      <w:tr w:rsidR="00CE2C15" w:rsidTr="00CE2C15">
        <w:trPr>
          <w:trHeight w:val="75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r>
    </w:tbl>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Допоміжні документи, які полегшують планування і облік зробленої роботи, є декількох видів. Найпоширенішими є системи зв’язків і так звані аналітичні довідки («особові рахунки»).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Системи зв’язків складаються у багатоепізодних кримінальних провадженнях. Вони допомагають систематизувати і за допомогою умовних позначень наочно показати, хто із співучасників до якого епізоду причетний. Схеми дозволяють, наприклад, простежити рух предметів контрабанди від моменту їх ввозу на територію країни до моменту збуту, що нерідко здійснюється через ланцюг посередників. Слідчому із схеми видно, які епізоди відпрацьовані, а які потребують додаткової перевірки. Це полегшує складення плану, аналіз провадження і з’ясування його перспективи.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досудового розслідування виникає необхідність систематизації даних про кожну особу, причетну до вчинення кримінальних правопорушень, але стосовно конкретного кримінального провадження. Така інформація надходить із різних джерел, відомості часто досить розмиті і суперечливі, а тому розібратися в них непросто. У таких випадках слідчий на кожну особу, що фігурує у провадженні, заводить облікову картку («особовий рахунок»). До нього у порядку надходження заносяться всі дані на конкретного суб’єкта із зазначенням їх джерел. Систематизована в одному документі інформація про конкретного підозрюваного полегшує оцінку ступеню доказаності його вини, мінімізує пошук даних серед об’ємних матеріалів провадження. Це важливо для конкретизації напряму подальшого розслідування. Використовується такий документ і при формуванні повідомлення про підозру, а також складанні обвинувального акту.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підозрюваних у багатоепізодному кримінальному провадженні декілька, складається „шахматка” – таблиця, де поєднані вертикальні та горизонтальні графи, у горизонтальних вказані підозрювані, у вертикальних – епізоди.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Приклад „шахматки”:</w:t>
      </w:r>
    </w:p>
    <w:tbl>
      <w:tblPr>
        <w:tblW w:w="13500" w:type="dxa"/>
        <w:jc w:val="center"/>
        <w:tblBorders>
          <w:top w:val="outset" w:sz="6" w:space="0" w:color="auto"/>
          <w:left w:val="outset" w:sz="6" w:space="0" w:color="auto"/>
          <w:bottom w:val="outset" w:sz="6" w:space="0" w:color="auto"/>
          <w:right w:val="outset" w:sz="6" w:space="0" w:color="auto"/>
        </w:tblBorders>
        <w:tblCellMar>
          <w:top w:w="15" w:type="dxa"/>
          <w:left w:w="450" w:type="dxa"/>
          <w:bottom w:w="15" w:type="dxa"/>
          <w:right w:w="450" w:type="dxa"/>
        </w:tblCellMar>
        <w:tblLook w:val="04A0" w:firstRow="1" w:lastRow="0" w:firstColumn="1" w:lastColumn="0" w:noHBand="0" w:noVBand="1"/>
      </w:tblPr>
      <w:tblGrid>
        <w:gridCol w:w="2441"/>
        <w:gridCol w:w="2211"/>
        <w:gridCol w:w="2212"/>
        <w:gridCol w:w="2212"/>
        <w:gridCol w:w="2212"/>
        <w:gridCol w:w="2212"/>
      </w:tblGrid>
      <w:tr w:rsidR="00CE2C15" w:rsidTr="00CE2C15">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Підозрювані</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Епізоди</w:t>
            </w:r>
          </w:p>
        </w:tc>
      </w:tr>
      <w:tr w:rsidR="00CE2C15" w:rsidTr="00CE2C1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№1</w:t>
            </w:r>
            <w:r>
              <w:rPr>
                <w:rFonts w:ascii="Helvetica" w:hAnsi="Helvetica"/>
                <w:color w:val="000000"/>
                <w:sz w:val="27"/>
                <w:szCs w:val="27"/>
              </w:rPr>
              <w:br/>
              <w:t>Короткий зміст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№2</w:t>
            </w:r>
            <w:r>
              <w:rPr>
                <w:rFonts w:ascii="Helvetica" w:hAnsi="Helvetica"/>
                <w:color w:val="000000"/>
                <w:sz w:val="27"/>
                <w:szCs w:val="27"/>
              </w:rPr>
              <w:br/>
              <w:t>Короткий зміст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№3</w:t>
            </w:r>
            <w:r>
              <w:rPr>
                <w:rFonts w:ascii="Helvetica" w:hAnsi="Helvetica"/>
                <w:color w:val="000000"/>
                <w:sz w:val="27"/>
                <w:szCs w:val="27"/>
              </w:rPr>
              <w:br/>
              <w:t>Короткий зміст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№4</w:t>
            </w:r>
            <w:r>
              <w:rPr>
                <w:rFonts w:ascii="Helvetica" w:hAnsi="Helvetica"/>
                <w:color w:val="000000"/>
                <w:sz w:val="27"/>
                <w:szCs w:val="27"/>
              </w:rPr>
              <w:br/>
              <w:t>Короткий зміст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№5</w:t>
            </w:r>
            <w:r>
              <w:rPr>
                <w:rFonts w:ascii="Helvetica" w:hAnsi="Helvetica"/>
                <w:color w:val="000000"/>
                <w:sz w:val="27"/>
                <w:szCs w:val="27"/>
              </w:rPr>
              <w:br/>
              <w:t>Короткий зміст</w:t>
            </w:r>
          </w:p>
        </w:tc>
      </w:tr>
      <w:tr w:rsidR="00CE2C15" w:rsidTr="00CE2C1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t>П.І.Б.</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r>
      <w:tr w:rsidR="00CE2C15" w:rsidTr="00CE2C1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r>
              <w:rPr>
                <w:rFonts w:ascii="Helvetica" w:hAnsi="Helvetica"/>
                <w:color w:val="000000"/>
                <w:sz w:val="27"/>
                <w:szCs w:val="27"/>
              </w:rPr>
              <w:lastRenderedPageBreak/>
              <w:t>П.І.Б.</w:t>
            </w: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rFonts w:ascii="Helvetica" w:hAnsi="Helvetica"/>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2C15" w:rsidRDefault="00CE2C15">
            <w:pPr>
              <w:spacing w:line="300" w:lineRule="atLeast"/>
              <w:jc w:val="center"/>
              <w:rPr>
                <w:sz w:val="20"/>
                <w:szCs w:val="20"/>
              </w:rPr>
            </w:pPr>
          </w:p>
        </w:tc>
      </w:tr>
    </w:tbl>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У доповнення до плану складаються схеми. За їх допомогою графічним шляхом систематизуються дані у провадженні. Графічне зображення даних провадження, систематизованих за певними ознаками, допомагає чітко уявити структуру і зміст як кримінального провадження у цілому, так і його певних обставин.</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Важливо приділити увагу питанню щодо розслідування групових багатоепізодних кримінальних правопорушень спеціально створеними </w:t>
      </w:r>
      <w:r>
        <w:rPr>
          <w:rFonts w:ascii="Georgia" w:hAnsi="Georgia"/>
          <w:i/>
          <w:iCs/>
          <w:color w:val="000000"/>
          <w:sz w:val="27"/>
          <w:szCs w:val="27"/>
        </w:rPr>
        <w:t>слідчо-оперативними групами</w:t>
      </w:r>
      <w:r>
        <w:rPr>
          <w:rFonts w:ascii="Georgia" w:hAnsi="Georgia"/>
          <w:color w:val="000000"/>
          <w:sz w:val="27"/>
          <w:szCs w:val="27"/>
        </w:rPr>
        <w:t>. Їх діяльність регламентується Інструкцією з організації взаємодії органів досудового розслідування з іншими органами та підрозділами внутрішніх справ у попередженні, виявленні та розслідуванні кримінальних правопорушень, що затверджена Наказом МВС України №700 від 14.08.2012 року. Передбачено, що для швидкого та повного розслідування тяжких, особливо тяжких злочинів, а також кримінальних правопорушень, які викликали значний суспільний резонанс, утворюються слідчо-оперативні групи. Її утворення здійснюється за наказом начальника територіального органу внутрішніх справ, погодженого з начальником слідчого підрозділу. При цьому керівником слідчо-оперативної групи є слідчий, який визначений начальником слідчого підрозділу здійснювати досудове розслідування кримінального правопорушення. Для досудового розслідування кримінальних правопорушень, учинених на території декількох областей (регіонів), наказом МВС може створюватися міжрегіональна слідчо-оперативна група.</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Діяльність слідчо-оперативної групи здійснюється на підставі планів проведення слідчих (розшукових) дій та негласних слідчих (розшукових) дій, в яких відображаються версії учинення кримінального правопорушення, конкретні виконавці та терміни виконання.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Оперативні працівники, включені до складу слідчо-оперативної групи, щотижнево інформують слідчого – керівника слідчо-оперативної групи про стан виконання наданих письмових доручень та запланованих заходів, а на його вимогу надають документи, що підтверджують обсяги проведеної ними роботи.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Результати роботи слідчо-оперативних груп з виявлення осіб, які вчинили кримінальні правопорушення, щомісяця розглядаються на оперативних нарадах при начальникові слідчого підрозділу в присутності начальника територіального органу внутрішніх справ та керівників його </w:t>
      </w:r>
      <w:r>
        <w:rPr>
          <w:rFonts w:ascii="Georgia" w:hAnsi="Georgia"/>
          <w:color w:val="000000"/>
          <w:sz w:val="27"/>
          <w:szCs w:val="27"/>
        </w:rPr>
        <w:lastRenderedPageBreak/>
        <w:t>структурних підрозділів, а стан досудового розслідування кримінальних проваджень, які викликали значний суспільний резонанс – щотижнево.</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Отже, кожному етапу розслідування притаманні певні особливості планування: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Планування першочергового етапу розслідування</w:t>
      </w:r>
      <w:r>
        <w:rPr>
          <w:rFonts w:ascii="Georgia" w:hAnsi="Georgia"/>
          <w:color w:val="000000"/>
          <w:sz w:val="27"/>
          <w:szCs w:val="27"/>
        </w:rPr>
        <w:t> обумовлюється особливостями вирішуваних </w:t>
      </w:r>
      <w:r>
        <w:rPr>
          <w:rFonts w:ascii="Georgia" w:hAnsi="Georgia"/>
          <w:i/>
          <w:iCs/>
          <w:color w:val="000000"/>
          <w:sz w:val="27"/>
          <w:szCs w:val="27"/>
        </w:rPr>
        <w:t>завдань</w:t>
      </w:r>
      <w:r>
        <w:rPr>
          <w:rFonts w:ascii="Georgia" w:hAnsi="Georgia"/>
          <w:color w:val="000000"/>
          <w:sz w:val="27"/>
          <w:szCs w:val="27"/>
        </w:rPr>
        <w:t>: орієнтування у обставинах вчиненого кримінального правопорушення; пошук доказів і джерел їх отримання; встановлення і розшук суб’єктів їх вчинення за гарячими слідами та ін.</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вирішенні питання про послідовність проведення різних заходів враховується їх невідкладність, пов’язана із забезпеченням оперативного отримання криміналістично значимої інформації, що може бути втрачена (фіксація слідів, що швидко зникають; допит помираючого потерпілого).</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Враховуються також регламентовані законом строки та тривалість проведення окремих дій (експертизи, ревізії), можливість перевірки шляхом проведення тієї чи іншої дії декількох криміналістичних версій.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Планування наступного етапу розслідування</w:t>
      </w:r>
      <w:r>
        <w:rPr>
          <w:rFonts w:ascii="Georgia" w:hAnsi="Georgia"/>
          <w:color w:val="000000"/>
          <w:sz w:val="27"/>
          <w:szCs w:val="27"/>
        </w:rPr>
        <w:t> здійснюється у відповідності із загальними завданнями цього етапу, що полягає у подальшому отриманні нових доказів, дослідженні, перевірці і оцінці уже зібраних фактичних даних з метою викриття підозрюваного, встановлення всіх співучасників кримінального правопорушення, усунення причин і умов, що спряли його вчиненню.</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На </w:t>
      </w:r>
      <w:r>
        <w:rPr>
          <w:rFonts w:ascii="Georgia" w:hAnsi="Georgia"/>
          <w:i/>
          <w:iCs/>
          <w:color w:val="000000"/>
          <w:sz w:val="27"/>
          <w:szCs w:val="27"/>
        </w:rPr>
        <w:t>заключному етапі розслідування</w:t>
      </w:r>
      <w:r>
        <w:rPr>
          <w:rFonts w:ascii="Georgia" w:hAnsi="Georgia"/>
          <w:color w:val="000000"/>
          <w:sz w:val="27"/>
          <w:szCs w:val="27"/>
        </w:rPr>
        <w:t> в плані повинні відобразитися такі обов’язкові дії, як складення обвинувального акту та реєстру матеріалів досудового розслідування, надання копії та реєстру матеріалів досудового розслідування підозрюваному, його захиснику, законному представнику.</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реалізації плану розслідування кримінального правопорушення важливим є </w:t>
      </w:r>
      <w:r>
        <w:rPr>
          <w:rFonts w:ascii="Georgia" w:hAnsi="Georgia"/>
          <w:i/>
          <w:iCs/>
          <w:color w:val="000000"/>
          <w:sz w:val="27"/>
          <w:szCs w:val="27"/>
        </w:rPr>
        <w:t>планування окремих слідчих (розшукових) дій</w:t>
      </w:r>
      <w:r>
        <w:rPr>
          <w:rFonts w:ascii="Georgia" w:hAnsi="Georgia"/>
          <w:color w:val="000000"/>
          <w:sz w:val="27"/>
          <w:szCs w:val="27"/>
        </w:rPr>
        <w:t>, як основного засобу доказування, яке покликано визначити способи, засоби та методи ефективного вирішення проміжних завдань розслідування.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Процес планування слідчої (розшукової) дії передбачає:</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отримання вихідної інформації;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з’ясування мети, завдань, змісту слідчої (розшукової) дії;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окреслення кола обставин, які необхідно з’ясувати;</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конкретизація інформації про умови проведення слідчої (розшукової) дії, її учасників;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прийняття рішення про час і місце запланованої дії;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вибір тактичних прийомів проведення слідчої (розшукової) дії;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вирішення питання про використання сил та засобів оперативних підрозділів;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вирішення питання про залучення необхідних учасників слідчої (розшукової) дії, про розподіл між ними обов’язків;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прийняття рішення про використання необхідних технічних засобів;</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 складення остаточного плану проведення слідчої (розшукової) дії.</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Наведений перелік не є вичерпним і залежить від характеру слідчої (розшукової) дії та конкретних умов її проведення.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Безумовно, не всі слідчі (розшукові) дії потребують складання письмового плану як систематизованої та організуючої основи. Слідчі (розшукові) дії, нескладні за своєю структурою та змістом, можуть обмежуватися усним планом. Однак, коли вони мають складний, конфліктний характер, потребують застосування комплексу підготовчих заходів, складання плану є доцільним і необхідним.</w:t>
      </w:r>
      <w:bookmarkStart w:id="5" w:name="q"/>
      <w:bookmarkEnd w:id="5"/>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Запитання для самоконтролю:</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1. Дайте визначення поняття „криміналістична версія”.</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2. Наведіть класифікацію криміналістичних версій.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3. Які етапи побудови та перевірки криміналістичних версій Ви знаєте? Охарактеризуйте їх.</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4. Назвіть методи побудови криміналістичних версій.</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5. Визначте та охарактеризуйте рівні організації розслідування кримінальних правопорушень.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6. Які завдання покладаються на різні рівні організації розслідування кримінальних правопорушень.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7. Які види планування розслідування Ви знаєте?</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8. Дайте характеристику принципам планування розслідування кримінальних правопорушень.</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9. Яка допоміжна документація використовується при плануванні?</w:t>
      </w:r>
    </w:p>
    <w:p w:rsidR="00CE2C15" w:rsidRDefault="00CE2C15" w:rsidP="00CE2C15">
      <w:pPr>
        <w:pStyle w:val="a4"/>
        <w:spacing w:line="345" w:lineRule="atLeast"/>
        <w:ind w:firstLine="450"/>
        <w:jc w:val="both"/>
        <w:rPr>
          <w:rFonts w:ascii="Georgia" w:hAnsi="Georgia"/>
          <w:color w:val="000000"/>
          <w:sz w:val="27"/>
          <w:szCs w:val="27"/>
        </w:rPr>
      </w:pPr>
      <w:r>
        <w:rPr>
          <w:rFonts w:ascii="Georgia" w:hAnsi="Georgia"/>
          <w:color w:val="000000"/>
          <w:sz w:val="27"/>
          <w:szCs w:val="27"/>
        </w:rPr>
        <w:t>10. Розкрийте зміст та завдання планування слідчих (розшукових) дій.</w:t>
      </w:r>
    </w:p>
    <w:p w:rsidR="00E2607E" w:rsidRPr="00065643" w:rsidRDefault="00E2607E" w:rsidP="00CE2C15">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p>
    <w:sectPr w:rsidR="00E2607E" w:rsidRPr="00065643" w:rsidSect="00BA293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84" w:rsidRDefault="004F6F84" w:rsidP="00BA2937">
      <w:pPr>
        <w:spacing w:after="0" w:line="240" w:lineRule="auto"/>
      </w:pPr>
      <w:r>
        <w:separator/>
      </w:r>
    </w:p>
  </w:endnote>
  <w:endnote w:type="continuationSeparator" w:id="0">
    <w:p w:rsidR="004F6F84" w:rsidRDefault="004F6F84"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84" w:rsidRDefault="004F6F84" w:rsidP="00BA2937">
      <w:pPr>
        <w:spacing w:after="0" w:line="240" w:lineRule="auto"/>
      </w:pPr>
      <w:r>
        <w:separator/>
      </w:r>
    </w:p>
  </w:footnote>
  <w:footnote w:type="continuationSeparator" w:id="0">
    <w:p w:rsidR="004F6F84" w:rsidRDefault="004F6F84"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9B17E6" w:rsidRPr="009B17E6">
          <w:rPr>
            <w:noProof/>
            <w:lang w:val="ru-RU"/>
          </w:rPr>
          <w:t>3</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329B"/>
    <w:rsid w:val="001C3AB1"/>
    <w:rsid w:val="00295653"/>
    <w:rsid w:val="0037359F"/>
    <w:rsid w:val="003B0D70"/>
    <w:rsid w:val="003B6BDD"/>
    <w:rsid w:val="0043494A"/>
    <w:rsid w:val="00484207"/>
    <w:rsid w:val="004F6F84"/>
    <w:rsid w:val="0061403D"/>
    <w:rsid w:val="006A106A"/>
    <w:rsid w:val="00722E88"/>
    <w:rsid w:val="007911D8"/>
    <w:rsid w:val="007C1890"/>
    <w:rsid w:val="00824894"/>
    <w:rsid w:val="00995712"/>
    <w:rsid w:val="009B17E6"/>
    <w:rsid w:val="00A5415F"/>
    <w:rsid w:val="00AC30C5"/>
    <w:rsid w:val="00B23B0A"/>
    <w:rsid w:val="00BA2937"/>
    <w:rsid w:val="00C5547B"/>
    <w:rsid w:val="00CE2C15"/>
    <w:rsid w:val="00DB237A"/>
    <w:rsid w:val="00E2607E"/>
    <w:rsid w:val="00EA2A43"/>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arm.naiau.kiev.ua/books/kruminalist/lections/lection_3.18.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3.1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3.18.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m.naiau.kiev.ua/books/kruminalist/lections/lection_3.18.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3.18.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23176</Words>
  <Characters>13211</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3</cp:revision>
  <dcterms:created xsi:type="dcterms:W3CDTF">2020-03-15T18:01:00Z</dcterms:created>
  <dcterms:modified xsi:type="dcterms:W3CDTF">2020-03-15T18:01:00Z</dcterms:modified>
</cp:coreProperties>
</file>