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5A3D2D" w:rsidRPr="005A3D2D" w:rsidRDefault="00A60094" w:rsidP="005A3D2D">
      <w:pPr>
        <w:ind w:firstLine="567"/>
        <w:jc w:val="center"/>
        <w:rPr>
          <w:rFonts w:ascii="Times New Roman" w:eastAsia="Times New Roman" w:hAnsi="Times New Roman" w:cs="Times New Roman"/>
          <w:b/>
          <w:bCs w:val="0"/>
          <w:color w:val="auto"/>
          <w:sz w:val="28"/>
          <w:szCs w:val="28"/>
          <w:lang w:eastAsia="ru-RU"/>
        </w:rPr>
      </w:pPr>
      <w:r>
        <w:rPr>
          <w:rFonts w:ascii="Times New Roman" w:eastAsia="Times New Roman" w:hAnsi="Times New Roman" w:cs="Times New Roman"/>
          <w:b/>
          <w:bCs w:val="0"/>
          <w:color w:val="auto"/>
          <w:sz w:val="28"/>
          <w:szCs w:val="28"/>
          <w:lang w:eastAsia="ru-RU"/>
        </w:rPr>
        <w:t>ГЕНДЕРНІ АСПЕКТИ</w:t>
      </w:r>
      <w:r w:rsidR="005A3D2D" w:rsidRPr="005A3D2D">
        <w:rPr>
          <w:rFonts w:ascii="Times New Roman" w:eastAsia="Times New Roman" w:hAnsi="Times New Roman" w:cs="Times New Roman"/>
          <w:b/>
          <w:bCs w:val="0"/>
          <w:color w:val="auto"/>
          <w:sz w:val="28"/>
          <w:szCs w:val="28"/>
          <w:lang w:eastAsia="ru-RU"/>
        </w:rPr>
        <w:t xml:space="preserve"> СОЦІАЛЬНОЇ РОБОТИ</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EF709C" w:rsidP="003A3E74">
      <w:pPr>
        <w:ind w:firstLine="567"/>
        <w:jc w:val="both"/>
        <w:rPr>
          <w:rFonts w:ascii="Times New Roman" w:eastAsia="Times New Roman" w:hAnsi="Times New Roman" w:cs="Times New Roman"/>
          <w:bCs w:val="0"/>
          <w:color w:val="auto"/>
          <w:sz w:val="28"/>
          <w:szCs w:val="28"/>
          <w:lang w:eastAsia="ru-RU"/>
        </w:rPr>
      </w:pPr>
      <w:r>
        <w:rPr>
          <w:rFonts w:ascii="Times New Roman" w:eastAsia="Times New Roman" w:hAnsi="Times New Roman" w:cs="Times New Roman"/>
          <w:bCs w:val="0"/>
          <w:color w:val="auto"/>
          <w:sz w:val="28"/>
          <w:szCs w:val="28"/>
          <w:lang w:eastAsia="ru-RU"/>
        </w:rPr>
        <w:t>освітнього рівня ________ «магістр</w:t>
      </w:r>
      <w:r w:rsidR="003A3E74" w:rsidRPr="003A3E74">
        <w:rPr>
          <w:rFonts w:ascii="Times New Roman" w:eastAsia="Times New Roman" w:hAnsi="Times New Roman" w:cs="Times New Roman"/>
          <w:bCs w:val="0"/>
          <w:color w:val="auto"/>
          <w:sz w:val="28"/>
          <w:szCs w:val="28"/>
          <w:lang w:eastAsia="ru-RU"/>
        </w:rPr>
        <w:t>»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6"/>
        <w:gridCol w:w="5414"/>
      </w:tblGrid>
      <w:tr w:rsidR="00556B92" w:rsidRPr="00556B92" w:rsidTr="00F41588">
        <w:tc>
          <w:tcPr>
            <w:tcW w:w="10137" w:type="dxa"/>
            <w:gridSpan w:val="2"/>
            <w:vAlign w:val="center"/>
          </w:tcPr>
          <w:p w:rsidR="00556B92" w:rsidRPr="00556B92" w:rsidRDefault="00556B92" w:rsidP="00556B92">
            <w:pPr>
              <w:pStyle w:val="a6"/>
              <w:tabs>
                <w:tab w:val="left" w:pos="2030"/>
              </w:tabs>
              <w:jc w:val="center"/>
              <w:rPr>
                <w:b/>
              </w:rPr>
            </w:pPr>
          </w:p>
          <w:p w:rsidR="00556B92" w:rsidRPr="00556B92" w:rsidRDefault="00556B92" w:rsidP="00556B92">
            <w:pPr>
              <w:pStyle w:val="a6"/>
              <w:tabs>
                <w:tab w:val="left" w:pos="2030"/>
              </w:tabs>
              <w:jc w:val="center"/>
              <w:rPr>
                <w:b/>
              </w:rPr>
            </w:pPr>
            <w:r w:rsidRPr="00556B92">
              <w:rPr>
                <w:b/>
                <w:szCs w:val="28"/>
              </w:rPr>
              <w:t>ІНФОРМАЦІЯ</w:t>
            </w:r>
          </w:p>
          <w:p w:rsidR="00556B92" w:rsidRPr="00556B92" w:rsidRDefault="00556B92" w:rsidP="00556B92">
            <w:pPr>
              <w:pStyle w:val="a6"/>
              <w:tabs>
                <w:tab w:val="left" w:pos="2030"/>
              </w:tabs>
              <w:jc w:val="center"/>
              <w:rPr>
                <w:b/>
              </w:rPr>
            </w:pPr>
            <w:r w:rsidRPr="00556B92">
              <w:rPr>
                <w:b/>
                <w:szCs w:val="28"/>
              </w:rPr>
              <w:t>ПРО ВИКЛАДАЧА ТА ДОПОМІЖНИХ ОСІБ</w:t>
            </w:r>
          </w:p>
          <w:p w:rsidR="00556B92" w:rsidRPr="00556B92" w:rsidRDefault="00556B92" w:rsidP="00556B92">
            <w:pPr>
              <w:pStyle w:val="a6"/>
              <w:tabs>
                <w:tab w:val="left" w:pos="2030"/>
              </w:tabs>
              <w:rPr>
                <w:b/>
              </w:rPr>
            </w:pPr>
          </w:p>
        </w:tc>
      </w:tr>
      <w:tr w:rsidR="00556B92" w:rsidRPr="00556B92" w:rsidTr="00F41588">
        <w:tc>
          <w:tcPr>
            <w:tcW w:w="5068" w:type="dxa"/>
            <w:vAlign w:val="center"/>
          </w:tcPr>
          <w:p w:rsidR="00556B92" w:rsidRPr="00556B92" w:rsidRDefault="00556B92" w:rsidP="00556B92">
            <w:pPr>
              <w:pStyle w:val="a6"/>
              <w:tabs>
                <w:tab w:val="left" w:pos="2030"/>
              </w:tabs>
              <w:jc w:val="center"/>
            </w:pPr>
            <w:r w:rsidRPr="00556B92">
              <w:rPr>
                <w:szCs w:val="28"/>
              </w:rPr>
              <w:t>Викладач</w:t>
            </w:r>
          </w:p>
        </w:tc>
        <w:tc>
          <w:tcPr>
            <w:tcW w:w="5069" w:type="dxa"/>
            <w:vAlign w:val="center"/>
          </w:tcPr>
          <w:p w:rsidR="00556B92" w:rsidRPr="00556B92" w:rsidRDefault="00556B92" w:rsidP="00556B92">
            <w:pPr>
              <w:pStyle w:val="a6"/>
              <w:tabs>
                <w:tab w:val="left" w:pos="2030"/>
              </w:tabs>
              <w:jc w:val="center"/>
              <w:rPr>
                <w:i/>
              </w:rPr>
            </w:pPr>
            <w:r w:rsidRPr="00556B92">
              <w:rPr>
                <w:szCs w:val="28"/>
              </w:rPr>
              <w:t>Бацман Ольга Сергіївна,</w:t>
            </w:r>
            <w:r>
              <w:rPr>
                <w:szCs w:val="28"/>
              </w:rPr>
              <w:t xml:space="preserve"> к.п.н., </w:t>
            </w:r>
            <w:r w:rsidRPr="00556B92">
              <w:rPr>
                <w:szCs w:val="28"/>
              </w:rPr>
              <w:t xml:space="preserve"> доцент кафедри соціальної роботи та спеціальної освіти</w:t>
            </w:r>
            <w:r w:rsidRPr="00556B92">
              <w:rPr>
                <w:i/>
                <w:szCs w:val="28"/>
              </w:rPr>
              <w:t xml:space="preserve"> </w:t>
            </w:r>
          </w:p>
        </w:tc>
      </w:tr>
      <w:tr w:rsidR="00556B92" w:rsidRPr="00556B92" w:rsidTr="00F41588">
        <w:tc>
          <w:tcPr>
            <w:tcW w:w="5068" w:type="dxa"/>
            <w:vAlign w:val="center"/>
          </w:tcPr>
          <w:p w:rsidR="00556B92" w:rsidRPr="00556B92" w:rsidRDefault="00556B92" w:rsidP="00556B92">
            <w:pPr>
              <w:pStyle w:val="a6"/>
              <w:tabs>
                <w:tab w:val="left" w:pos="2030"/>
              </w:tabs>
              <w:jc w:val="center"/>
            </w:pPr>
            <w:r w:rsidRPr="00556B92">
              <w:rPr>
                <w:szCs w:val="28"/>
              </w:rPr>
              <w:t>Асистент викладача</w:t>
            </w:r>
          </w:p>
        </w:tc>
        <w:tc>
          <w:tcPr>
            <w:tcW w:w="5069" w:type="dxa"/>
            <w:vAlign w:val="center"/>
          </w:tcPr>
          <w:p w:rsidR="00556B92" w:rsidRPr="00556B92" w:rsidRDefault="00556B92" w:rsidP="00556B92">
            <w:pPr>
              <w:pStyle w:val="a6"/>
              <w:tabs>
                <w:tab w:val="left" w:pos="2030"/>
              </w:tabs>
              <w:jc w:val="center"/>
              <w:rPr>
                <w:i/>
              </w:rPr>
            </w:pPr>
          </w:p>
        </w:tc>
      </w:tr>
      <w:tr w:rsidR="00556B92" w:rsidRPr="00556B92" w:rsidTr="00F41588">
        <w:tc>
          <w:tcPr>
            <w:tcW w:w="5068" w:type="dxa"/>
            <w:vAlign w:val="center"/>
          </w:tcPr>
          <w:p w:rsidR="00556B92" w:rsidRPr="00556B92" w:rsidRDefault="00556B92" w:rsidP="00556B92">
            <w:pPr>
              <w:pStyle w:val="a6"/>
              <w:tabs>
                <w:tab w:val="left" w:pos="2030"/>
              </w:tabs>
              <w:jc w:val="center"/>
            </w:pPr>
            <w:r w:rsidRPr="00556B92">
              <w:rPr>
                <w:szCs w:val="28"/>
              </w:rPr>
              <w:t>Практики, представники</w:t>
            </w:r>
          </w:p>
          <w:p w:rsidR="00556B92" w:rsidRPr="00556B92" w:rsidRDefault="00556B92" w:rsidP="00556B92">
            <w:pPr>
              <w:pStyle w:val="a6"/>
              <w:tabs>
                <w:tab w:val="left" w:pos="2030"/>
              </w:tabs>
              <w:jc w:val="center"/>
            </w:pPr>
            <w:r w:rsidRPr="00556B92">
              <w:rPr>
                <w:szCs w:val="28"/>
              </w:rPr>
              <w:t>бізнесу, фахівці,</w:t>
            </w:r>
          </w:p>
          <w:p w:rsidR="00556B92" w:rsidRPr="00556B92" w:rsidRDefault="00556B92" w:rsidP="00556B92">
            <w:pPr>
              <w:pStyle w:val="a6"/>
              <w:tabs>
                <w:tab w:val="left" w:pos="2030"/>
              </w:tabs>
              <w:jc w:val="center"/>
            </w:pPr>
            <w:r w:rsidRPr="00556B92">
              <w:rPr>
                <w:szCs w:val="28"/>
              </w:rPr>
              <w:t>залучені до викладання</w:t>
            </w:r>
          </w:p>
        </w:tc>
        <w:tc>
          <w:tcPr>
            <w:tcW w:w="5069" w:type="dxa"/>
            <w:vAlign w:val="center"/>
          </w:tcPr>
          <w:p w:rsidR="00556B92" w:rsidRPr="00556B92" w:rsidRDefault="00556B92" w:rsidP="00556B92">
            <w:pPr>
              <w:pStyle w:val="a6"/>
              <w:tabs>
                <w:tab w:val="left" w:pos="2030"/>
              </w:tabs>
              <w:jc w:val="center"/>
              <w:rPr>
                <w:i/>
              </w:rPr>
            </w:pPr>
          </w:p>
        </w:tc>
      </w:tr>
      <w:tr w:rsidR="00556B92" w:rsidRPr="00556B92" w:rsidTr="00F41588">
        <w:tc>
          <w:tcPr>
            <w:tcW w:w="5068" w:type="dxa"/>
            <w:vAlign w:val="center"/>
          </w:tcPr>
          <w:p w:rsidR="00556B92" w:rsidRPr="00556B92" w:rsidRDefault="00556B92" w:rsidP="00556B92">
            <w:pPr>
              <w:pStyle w:val="a6"/>
              <w:tabs>
                <w:tab w:val="left" w:pos="2030"/>
              </w:tabs>
              <w:jc w:val="center"/>
            </w:pPr>
            <w:r w:rsidRPr="00556B92">
              <w:rPr>
                <w:szCs w:val="28"/>
              </w:rPr>
              <w:t>Профайл викладача</w:t>
            </w:r>
          </w:p>
        </w:tc>
        <w:tc>
          <w:tcPr>
            <w:tcW w:w="5069" w:type="dxa"/>
            <w:vAlign w:val="center"/>
          </w:tcPr>
          <w:p w:rsidR="00556B92" w:rsidRPr="00556B92" w:rsidRDefault="00556B92" w:rsidP="00556B92">
            <w:pPr>
              <w:pStyle w:val="a6"/>
              <w:tabs>
                <w:tab w:val="left" w:pos="2030"/>
              </w:tabs>
              <w:jc w:val="center"/>
              <w:rPr>
                <w:i/>
              </w:rPr>
            </w:pPr>
          </w:p>
        </w:tc>
      </w:tr>
      <w:tr w:rsidR="00556B92" w:rsidRPr="00556B92" w:rsidTr="00F41588">
        <w:tc>
          <w:tcPr>
            <w:tcW w:w="5068" w:type="dxa"/>
            <w:vAlign w:val="center"/>
          </w:tcPr>
          <w:p w:rsidR="00556B92" w:rsidRPr="00556B92" w:rsidRDefault="00556B92" w:rsidP="00556B92">
            <w:pPr>
              <w:pStyle w:val="a6"/>
              <w:tabs>
                <w:tab w:val="left" w:pos="2030"/>
              </w:tabs>
              <w:jc w:val="center"/>
            </w:pPr>
            <w:r w:rsidRPr="00556B92">
              <w:rPr>
                <w:szCs w:val="28"/>
              </w:rPr>
              <w:t>Профайл асистента</w:t>
            </w:r>
          </w:p>
        </w:tc>
        <w:tc>
          <w:tcPr>
            <w:tcW w:w="5069" w:type="dxa"/>
            <w:vAlign w:val="center"/>
          </w:tcPr>
          <w:p w:rsidR="00556B92" w:rsidRPr="00556B92" w:rsidRDefault="00556B92" w:rsidP="00556B92">
            <w:pPr>
              <w:pStyle w:val="a6"/>
              <w:tabs>
                <w:tab w:val="left" w:pos="2030"/>
              </w:tabs>
              <w:jc w:val="center"/>
              <w:rPr>
                <w:i/>
              </w:rPr>
            </w:pPr>
          </w:p>
        </w:tc>
      </w:tr>
      <w:tr w:rsidR="00556B92" w:rsidRPr="00556B92" w:rsidTr="00F41588">
        <w:tc>
          <w:tcPr>
            <w:tcW w:w="5068" w:type="dxa"/>
            <w:vAlign w:val="center"/>
          </w:tcPr>
          <w:p w:rsidR="00556B92" w:rsidRPr="00556B92" w:rsidRDefault="00556B92" w:rsidP="00556B92">
            <w:pPr>
              <w:pStyle w:val="a6"/>
              <w:tabs>
                <w:tab w:val="left" w:pos="2030"/>
              </w:tabs>
              <w:jc w:val="center"/>
            </w:pPr>
          </w:p>
          <w:p w:rsidR="00556B92" w:rsidRPr="00556B92" w:rsidRDefault="00556B92" w:rsidP="00556B92">
            <w:pPr>
              <w:pStyle w:val="a6"/>
              <w:tabs>
                <w:tab w:val="left" w:pos="2030"/>
              </w:tabs>
              <w:jc w:val="center"/>
            </w:pPr>
            <w:r w:rsidRPr="00556B92">
              <w:rPr>
                <w:szCs w:val="28"/>
              </w:rPr>
              <w:t>Канали комунікації</w:t>
            </w:r>
          </w:p>
        </w:tc>
        <w:tc>
          <w:tcPr>
            <w:tcW w:w="5069" w:type="dxa"/>
            <w:vAlign w:val="center"/>
          </w:tcPr>
          <w:p w:rsidR="00556B92" w:rsidRPr="00556B92" w:rsidRDefault="00556B92" w:rsidP="00556B92">
            <w:pPr>
              <w:pStyle w:val="a6"/>
              <w:tabs>
                <w:tab w:val="left" w:pos="2030"/>
              </w:tabs>
              <w:jc w:val="center"/>
              <w:rPr>
                <w:i/>
              </w:rPr>
            </w:pPr>
          </w:p>
          <w:p w:rsidR="00556B92" w:rsidRPr="00556B92" w:rsidRDefault="00556B92" w:rsidP="00556B92">
            <w:pPr>
              <w:pStyle w:val="a6"/>
              <w:tabs>
                <w:tab w:val="left" w:pos="2030"/>
              </w:tabs>
              <w:jc w:val="center"/>
              <w:rPr>
                <w:i/>
                <w:lang w:val="ru-RU"/>
              </w:rPr>
            </w:pPr>
            <w:r w:rsidRPr="00556B92">
              <w:rPr>
                <w:i/>
                <w:szCs w:val="28"/>
              </w:rPr>
              <w:t>Електронна пошта:</w:t>
            </w:r>
            <w:r w:rsidRPr="00556B92">
              <w:rPr>
                <w:szCs w:val="28"/>
              </w:rPr>
              <w:t xml:space="preserve"> </w:t>
            </w:r>
            <w:r w:rsidRPr="00556B92">
              <w:rPr>
                <w:szCs w:val="28"/>
                <w:lang w:val="en-US"/>
              </w:rPr>
              <w:t>olgapisnya</w:t>
            </w:r>
            <w:r w:rsidRPr="00556B92">
              <w:rPr>
                <w:szCs w:val="28"/>
                <w:lang w:val="ru-RU"/>
              </w:rPr>
              <w:t>2203@</w:t>
            </w:r>
            <w:r w:rsidRPr="00556B92">
              <w:rPr>
                <w:szCs w:val="28"/>
                <w:lang w:val="en-US"/>
              </w:rPr>
              <w:t>gmail</w:t>
            </w:r>
            <w:r w:rsidRPr="00556B92">
              <w:rPr>
                <w:szCs w:val="28"/>
                <w:lang w:val="ru-RU"/>
              </w:rPr>
              <w:t>.</w:t>
            </w:r>
            <w:r w:rsidRPr="00556B92">
              <w:rPr>
                <w:szCs w:val="28"/>
                <w:lang w:val="en-US"/>
              </w:rPr>
              <w:t>com</w:t>
            </w:r>
          </w:p>
          <w:p w:rsidR="00556B92" w:rsidRPr="00556B92" w:rsidRDefault="00556B92" w:rsidP="00556B92">
            <w:pPr>
              <w:pStyle w:val="a6"/>
              <w:tabs>
                <w:tab w:val="left" w:pos="2030"/>
              </w:tabs>
              <w:jc w:val="center"/>
              <w:rPr>
                <w:i/>
              </w:rPr>
            </w:pPr>
            <w:r w:rsidRPr="00556B92">
              <w:rPr>
                <w:i/>
                <w:szCs w:val="28"/>
              </w:rPr>
              <w:t>Вайбер: 0995666868</w:t>
            </w:r>
          </w:p>
          <w:p w:rsidR="00556B92" w:rsidRPr="00556B92" w:rsidRDefault="00556B92" w:rsidP="00556B92">
            <w:pPr>
              <w:pStyle w:val="a6"/>
              <w:tabs>
                <w:tab w:val="left" w:pos="2030"/>
              </w:tabs>
              <w:jc w:val="center"/>
              <w:rPr>
                <w:i/>
              </w:rPr>
            </w:pPr>
            <w:r w:rsidRPr="00556B92">
              <w:rPr>
                <w:i/>
                <w:szCs w:val="28"/>
              </w:rPr>
              <w:t>Кабінет (електронний кабінет):</w:t>
            </w:r>
          </w:p>
          <w:p w:rsidR="00556B92" w:rsidRPr="00556B92" w:rsidRDefault="00556B92" w:rsidP="00556B92">
            <w:pPr>
              <w:pStyle w:val="a6"/>
              <w:tabs>
                <w:tab w:val="left" w:pos="2030"/>
              </w:tabs>
              <w:jc w:val="center"/>
              <w:rPr>
                <w:i/>
              </w:rPr>
            </w:pPr>
          </w:p>
        </w:tc>
      </w:tr>
      <w:tr w:rsidR="00556B92" w:rsidRPr="00556B92" w:rsidTr="00F41588">
        <w:tc>
          <w:tcPr>
            <w:tcW w:w="5068" w:type="dxa"/>
            <w:vAlign w:val="center"/>
          </w:tcPr>
          <w:p w:rsidR="00556B92" w:rsidRPr="00556B92" w:rsidRDefault="00556B92" w:rsidP="00556B92">
            <w:pPr>
              <w:pStyle w:val="a6"/>
              <w:tabs>
                <w:tab w:val="left" w:pos="2030"/>
              </w:tabs>
              <w:jc w:val="center"/>
            </w:pPr>
            <w:r w:rsidRPr="00556B92">
              <w:rPr>
                <w:szCs w:val="28"/>
              </w:rPr>
              <w:t xml:space="preserve">Матеріали до курсу розміщені на сайті Інтернет-підтримки навчального процесу </w:t>
            </w:r>
            <w:hyperlink r:id="rId7" w:history="1">
              <w:r w:rsidRPr="00556B92">
                <w:rPr>
                  <w:rStyle w:val="a3"/>
                  <w:szCs w:val="28"/>
                </w:rPr>
                <w:t>http://vo.ukraine.edu.ua/</w:t>
              </w:r>
            </w:hyperlink>
            <w:r w:rsidRPr="00556B92">
              <w:rPr>
                <w:szCs w:val="28"/>
              </w:rPr>
              <w:t xml:space="preserve"> за адресою</w:t>
            </w:r>
          </w:p>
        </w:tc>
        <w:tc>
          <w:tcPr>
            <w:tcW w:w="5069" w:type="dxa"/>
          </w:tcPr>
          <w:p w:rsidR="00556B92" w:rsidRPr="00556B92" w:rsidRDefault="00EF709C" w:rsidP="00556B92">
            <w:pPr>
              <w:pStyle w:val="a6"/>
              <w:tabs>
                <w:tab w:val="left" w:pos="2030"/>
              </w:tabs>
              <w:jc w:val="center"/>
              <w:rPr>
                <w:i/>
              </w:rPr>
            </w:pPr>
            <w:r w:rsidRPr="00EF709C">
              <w:rPr>
                <w:szCs w:val="28"/>
              </w:rPr>
              <w:t>https://vo.uu.edu.ua/course/view.php?id=7413</w:t>
            </w:r>
          </w:p>
        </w:tc>
      </w:tr>
    </w:tbl>
    <w:p w:rsidR="001C5289" w:rsidRPr="00685241" w:rsidRDefault="001C5289" w:rsidP="001C5289">
      <w:pPr>
        <w:pStyle w:val="a6"/>
        <w:tabs>
          <w:tab w:val="left" w:pos="2030"/>
        </w:tabs>
        <w:jc w:val="center"/>
        <w:rPr>
          <w:b/>
          <w:szCs w:val="28"/>
        </w:rPr>
      </w:pPr>
    </w:p>
    <w:p w:rsidR="005A3D2D" w:rsidRPr="00BA2337" w:rsidRDefault="001C5289" w:rsidP="005A3D2D">
      <w:pPr>
        <w:pStyle w:val="1"/>
        <w:spacing w:before="0" w:after="240"/>
        <w:ind w:left="357"/>
        <w:jc w:val="center"/>
        <w:rPr>
          <w:rFonts w:ascii="Times New Roman" w:hAnsi="Times New Roman"/>
          <w:bCs/>
          <w:sz w:val="28"/>
          <w:szCs w:val="28"/>
        </w:rPr>
      </w:pPr>
      <w:r w:rsidRPr="00685241">
        <w:rPr>
          <w:rFonts w:ascii="Times New Roman" w:hAnsi="Times New Roman"/>
          <w:b w:val="0"/>
          <w:bCs/>
          <w:i/>
          <w:szCs w:val="28"/>
        </w:rPr>
        <w:br w:type="page"/>
      </w:r>
      <w:r w:rsidR="005A3D2D" w:rsidRPr="00BA2337">
        <w:rPr>
          <w:rFonts w:ascii="Times New Roman" w:hAnsi="Times New Roman"/>
          <w:bCs/>
          <w:sz w:val="28"/>
          <w:szCs w:val="28"/>
        </w:rPr>
        <w:lastRenderedPageBreak/>
        <w:t>.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5A3D2D" w:rsidRPr="00BA2337" w:rsidTr="005A3D2D">
        <w:trPr>
          <w:trHeight w:val="803"/>
        </w:trPr>
        <w:tc>
          <w:tcPr>
            <w:tcW w:w="2896"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Найменування показників </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Характеристика навчальної дисципліни</w:t>
            </w:r>
          </w:p>
        </w:tc>
      </w:tr>
      <w:tr w:rsidR="005A3D2D" w:rsidRPr="00BA2337" w:rsidTr="005A3D2D">
        <w:trPr>
          <w:trHeight w:val="549"/>
        </w:trPr>
        <w:tc>
          <w:tcPr>
            <w:tcW w:w="2896" w:type="dxa"/>
            <w:vMerge/>
            <w:vAlign w:val="center"/>
          </w:tcPr>
          <w:p w:rsidR="005A3D2D" w:rsidRPr="00BA2337" w:rsidRDefault="005A3D2D" w:rsidP="005A3D2D">
            <w:pPr>
              <w:jc w:val="center"/>
              <w:rPr>
                <w:rFonts w:ascii="Times New Roman" w:hAnsi="Times New Roman" w:cs="Times New Roman"/>
                <w:b/>
              </w:rPr>
            </w:pPr>
          </w:p>
        </w:tc>
        <w:tc>
          <w:tcPr>
            <w:tcW w:w="3262" w:type="dxa"/>
            <w:vMerge/>
            <w:vAlign w:val="center"/>
          </w:tcPr>
          <w:p w:rsidR="005A3D2D" w:rsidRPr="00BA2337" w:rsidRDefault="005A3D2D" w:rsidP="005A3D2D">
            <w:pPr>
              <w:jc w:val="center"/>
              <w:rPr>
                <w:rFonts w:ascii="Times New Roman" w:hAnsi="Times New Roman" w:cs="Times New Roman"/>
                <w:b/>
              </w:rPr>
            </w:pPr>
          </w:p>
        </w:tc>
        <w:tc>
          <w:tcPr>
            <w:tcW w:w="1620" w:type="dxa"/>
          </w:tcPr>
          <w:p w:rsidR="005A3D2D" w:rsidRPr="00BA2337" w:rsidRDefault="005A3D2D" w:rsidP="005A3D2D">
            <w:pPr>
              <w:jc w:val="center"/>
              <w:rPr>
                <w:rFonts w:ascii="Times New Roman" w:hAnsi="Times New Roman" w:cs="Times New Roman"/>
                <w:b/>
                <w:i/>
              </w:rPr>
            </w:pPr>
            <w:r w:rsidRPr="00BA2337">
              <w:rPr>
                <w:rFonts w:ascii="Times New Roman" w:hAnsi="Times New Roman" w:cs="Times New Roman"/>
                <w:b/>
                <w:i/>
                <w:sz w:val="28"/>
                <w:szCs w:val="28"/>
              </w:rPr>
              <w:t>денна форма навчання</w:t>
            </w:r>
          </w:p>
        </w:tc>
        <w:tc>
          <w:tcPr>
            <w:tcW w:w="1800" w:type="dxa"/>
          </w:tcPr>
          <w:p w:rsidR="005A3D2D" w:rsidRPr="00BA2337" w:rsidRDefault="005A3D2D" w:rsidP="005A3D2D">
            <w:pPr>
              <w:jc w:val="center"/>
              <w:rPr>
                <w:rFonts w:ascii="Times New Roman" w:hAnsi="Times New Roman" w:cs="Times New Roman"/>
                <w:b/>
                <w:i/>
              </w:rPr>
            </w:pPr>
            <w:r w:rsidRPr="00BA2337">
              <w:rPr>
                <w:rFonts w:ascii="Times New Roman" w:hAnsi="Times New Roman" w:cs="Times New Roman"/>
                <w:b/>
                <w:i/>
                <w:sz w:val="28"/>
                <w:szCs w:val="28"/>
              </w:rPr>
              <w:t>заочна форма навчання</w:t>
            </w:r>
          </w:p>
        </w:tc>
      </w:tr>
      <w:tr w:rsidR="005A3D2D" w:rsidRPr="00BA2337" w:rsidTr="005A3D2D">
        <w:trPr>
          <w:trHeight w:val="409"/>
        </w:trPr>
        <w:tc>
          <w:tcPr>
            <w:tcW w:w="2896" w:type="dxa"/>
            <w:vMerge w:val="restart"/>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Загальний обсяг кредитів – </w:t>
            </w:r>
            <w:r w:rsidR="00A60094">
              <w:rPr>
                <w:rFonts w:ascii="Times New Roman" w:hAnsi="Times New Roman" w:cs="Times New Roman"/>
                <w:sz w:val="28"/>
                <w:szCs w:val="28"/>
              </w:rPr>
              <w:t>5</w:t>
            </w:r>
          </w:p>
        </w:tc>
        <w:tc>
          <w:tcPr>
            <w:tcW w:w="3262" w:type="dxa"/>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Галузь знань</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23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Вид дисципліни</w:t>
            </w:r>
          </w:p>
          <w:p w:rsidR="005A3D2D" w:rsidRPr="006E48B7" w:rsidRDefault="005A3D2D" w:rsidP="005A3D2D">
            <w:pPr>
              <w:jc w:val="center"/>
              <w:rPr>
                <w:rFonts w:ascii="Times New Roman" w:hAnsi="Times New Roman" w:cs="Times New Roman"/>
              </w:rPr>
            </w:pPr>
          </w:p>
        </w:tc>
      </w:tr>
      <w:tr w:rsidR="005A3D2D" w:rsidRPr="00BA2337" w:rsidTr="005A3D2D">
        <w:trPr>
          <w:trHeight w:val="409"/>
        </w:trPr>
        <w:tc>
          <w:tcPr>
            <w:tcW w:w="2896" w:type="dxa"/>
            <w:vMerge/>
            <w:vAlign w:val="center"/>
          </w:tcPr>
          <w:p w:rsidR="005A3D2D" w:rsidRPr="00BA2337" w:rsidRDefault="005A3D2D" w:rsidP="005A3D2D">
            <w:pPr>
              <w:rPr>
                <w:rFonts w:ascii="Times New Roman" w:hAnsi="Times New Roman" w:cs="Times New Roman"/>
              </w:rPr>
            </w:pPr>
          </w:p>
        </w:tc>
        <w:tc>
          <w:tcPr>
            <w:tcW w:w="3262" w:type="dxa"/>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Спеціальність </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231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Цикл підготовки </w:t>
            </w:r>
          </w:p>
          <w:p w:rsidR="005A3D2D" w:rsidRPr="006E48B7" w:rsidRDefault="005A3D2D" w:rsidP="005A3D2D">
            <w:pPr>
              <w:jc w:val="center"/>
              <w:rPr>
                <w:rFonts w:ascii="Times New Roman" w:hAnsi="Times New Roman" w:cs="Times New Roman"/>
                <w:highlight w:val="yellow"/>
              </w:rPr>
            </w:pPr>
          </w:p>
        </w:tc>
      </w:tr>
      <w:tr w:rsidR="005A3D2D" w:rsidRPr="00BA2337" w:rsidTr="005A3D2D">
        <w:trPr>
          <w:trHeight w:val="170"/>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Модулів – </w:t>
            </w:r>
            <w:r>
              <w:rPr>
                <w:rFonts w:ascii="Times New Roman" w:hAnsi="Times New Roman" w:cs="Times New Roman"/>
                <w:sz w:val="28"/>
                <w:szCs w:val="28"/>
              </w:rPr>
              <w:t>2</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Спеціалізація</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Рік підготовки:</w:t>
            </w:r>
          </w:p>
        </w:tc>
      </w:tr>
      <w:tr w:rsidR="005A3D2D" w:rsidRPr="00BA2337" w:rsidTr="005A3D2D">
        <w:trPr>
          <w:trHeight w:val="207"/>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Змістових модулів – </w:t>
            </w:r>
            <w:r>
              <w:rPr>
                <w:rFonts w:ascii="Times New Roman" w:hAnsi="Times New Roman" w:cs="Times New Roman"/>
                <w:sz w:val="28"/>
                <w:szCs w:val="28"/>
              </w:rPr>
              <w:t>3</w:t>
            </w: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A60094" w:rsidP="005A3D2D">
            <w:pPr>
              <w:jc w:val="center"/>
              <w:rPr>
                <w:rFonts w:ascii="Times New Roman" w:hAnsi="Times New Roman" w:cs="Times New Roman"/>
              </w:rPr>
            </w:pPr>
            <w:r>
              <w:rPr>
                <w:rFonts w:ascii="Times New Roman" w:hAnsi="Times New Roman" w:cs="Times New Roman"/>
                <w:sz w:val="28"/>
                <w:szCs w:val="28"/>
              </w:rPr>
              <w:t>2</w:t>
            </w:r>
            <w:r w:rsidR="005A3D2D" w:rsidRPr="00BA2337">
              <w:rPr>
                <w:rFonts w:ascii="Times New Roman" w:hAnsi="Times New Roman" w:cs="Times New Roman"/>
                <w:sz w:val="28"/>
                <w:szCs w:val="28"/>
              </w:rPr>
              <w:t>-й</w:t>
            </w:r>
          </w:p>
        </w:tc>
        <w:tc>
          <w:tcPr>
            <w:tcW w:w="1800" w:type="dxa"/>
            <w:vAlign w:val="center"/>
          </w:tcPr>
          <w:p w:rsidR="005A3D2D" w:rsidRPr="00BA2337" w:rsidRDefault="00A60094" w:rsidP="005A3D2D">
            <w:pPr>
              <w:jc w:val="center"/>
              <w:rPr>
                <w:rFonts w:ascii="Times New Roman" w:hAnsi="Times New Roman" w:cs="Times New Roman"/>
              </w:rPr>
            </w:pPr>
            <w:r>
              <w:rPr>
                <w:rFonts w:ascii="Times New Roman" w:hAnsi="Times New Roman" w:cs="Times New Roman"/>
                <w:sz w:val="28"/>
                <w:szCs w:val="28"/>
              </w:rPr>
              <w:t>2</w:t>
            </w:r>
            <w:r w:rsidR="005A3D2D" w:rsidRPr="00BA2337">
              <w:rPr>
                <w:rFonts w:ascii="Times New Roman" w:hAnsi="Times New Roman" w:cs="Times New Roman"/>
                <w:sz w:val="28"/>
                <w:szCs w:val="28"/>
              </w:rPr>
              <w:t>-й</w:t>
            </w:r>
          </w:p>
        </w:tc>
      </w:tr>
      <w:tr w:rsidR="005A3D2D" w:rsidRPr="00BA2337" w:rsidTr="005A3D2D">
        <w:trPr>
          <w:trHeight w:val="246"/>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Індивідуальне науково-дослідне завдання </w:t>
            </w:r>
            <w:r>
              <w:rPr>
                <w:rFonts w:ascii="Times New Roman" w:hAnsi="Times New Roman" w:cs="Times New Roman"/>
                <w:sz w:val="28"/>
                <w:szCs w:val="28"/>
              </w:rPr>
              <w:t>«Презентація актуального питання курсу»</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Мова викладання, навчання та оцінювання:</w:t>
            </w:r>
          </w:p>
          <w:p w:rsidR="005A3D2D" w:rsidRPr="00BA2337" w:rsidRDefault="005A3D2D" w:rsidP="005A3D2D">
            <w:pPr>
              <w:jc w:val="center"/>
              <w:rPr>
                <w:rFonts w:ascii="Times New Roman" w:hAnsi="Times New Roman" w:cs="Times New Roman"/>
                <w:b/>
              </w:rPr>
            </w:pPr>
            <w:r>
              <w:rPr>
                <w:rFonts w:ascii="Times New Roman" w:hAnsi="Times New Roman" w:cs="Times New Roman"/>
                <w:sz w:val="28"/>
                <w:szCs w:val="28"/>
              </w:rPr>
              <w:t>українська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Семестр</w:t>
            </w:r>
          </w:p>
        </w:tc>
      </w:tr>
      <w:tr w:rsidR="005A3D2D" w:rsidRPr="00BA2337" w:rsidTr="005A3D2D">
        <w:trPr>
          <w:trHeight w:val="323"/>
        </w:trPr>
        <w:tc>
          <w:tcPr>
            <w:tcW w:w="2896" w:type="dxa"/>
            <w:vMerge w:val="restart"/>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Загальний обсяг годин – </w:t>
            </w:r>
            <w:r w:rsidR="00A60094">
              <w:rPr>
                <w:rFonts w:ascii="Times New Roman" w:hAnsi="Times New Roman" w:cs="Times New Roman"/>
                <w:sz w:val="28"/>
                <w:szCs w:val="28"/>
              </w:rPr>
              <w:t>120</w:t>
            </w: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A60094" w:rsidP="005A3D2D">
            <w:pPr>
              <w:jc w:val="center"/>
              <w:rPr>
                <w:rFonts w:ascii="Times New Roman" w:hAnsi="Times New Roman" w:cs="Times New Roman"/>
              </w:rPr>
            </w:pPr>
            <w:r>
              <w:rPr>
                <w:rFonts w:ascii="Times New Roman" w:hAnsi="Times New Roman" w:cs="Times New Roman"/>
                <w:sz w:val="28"/>
                <w:szCs w:val="28"/>
              </w:rPr>
              <w:t>3</w:t>
            </w:r>
            <w:r w:rsidR="005A3D2D" w:rsidRPr="00BA2337">
              <w:rPr>
                <w:rFonts w:ascii="Times New Roman" w:hAnsi="Times New Roman" w:cs="Times New Roman"/>
                <w:sz w:val="28"/>
                <w:szCs w:val="28"/>
              </w:rPr>
              <w:t>-й</w:t>
            </w:r>
          </w:p>
        </w:tc>
        <w:tc>
          <w:tcPr>
            <w:tcW w:w="1800" w:type="dxa"/>
            <w:vAlign w:val="center"/>
          </w:tcPr>
          <w:p w:rsidR="005A3D2D" w:rsidRPr="00BA2337" w:rsidRDefault="00A60094" w:rsidP="005A3D2D">
            <w:pPr>
              <w:jc w:val="center"/>
              <w:rPr>
                <w:rFonts w:ascii="Times New Roman" w:hAnsi="Times New Roman" w:cs="Times New Roman"/>
              </w:rPr>
            </w:pPr>
            <w:r>
              <w:rPr>
                <w:rFonts w:ascii="Times New Roman" w:hAnsi="Times New Roman" w:cs="Times New Roman"/>
                <w:sz w:val="28"/>
                <w:szCs w:val="28"/>
              </w:rPr>
              <w:t>3</w:t>
            </w:r>
            <w:r w:rsidR="005A3D2D" w:rsidRPr="00BA2337">
              <w:rPr>
                <w:rFonts w:ascii="Times New Roman" w:hAnsi="Times New Roman" w:cs="Times New Roman"/>
                <w:sz w:val="28"/>
                <w:szCs w:val="28"/>
              </w:rPr>
              <w:t>-й</w:t>
            </w:r>
          </w:p>
        </w:tc>
      </w:tr>
      <w:tr w:rsidR="005A3D2D" w:rsidRPr="00BA2337" w:rsidTr="005A3D2D">
        <w:trPr>
          <w:trHeight w:val="322"/>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Лекції</w:t>
            </w:r>
          </w:p>
        </w:tc>
      </w:tr>
      <w:tr w:rsidR="005A3D2D" w:rsidRPr="00BA2337" w:rsidTr="005A3D2D">
        <w:trPr>
          <w:trHeight w:val="320"/>
        </w:trPr>
        <w:tc>
          <w:tcPr>
            <w:tcW w:w="2896" w:type="dxa"/>
            <w:vMerge w:val="restart"/>
            <w:vAlign w:val="center"/>
          </w:tcPr>
          <w:p w:rsidR="005A3D2D" w:rsidRPr="00E46C47" w:rsidRDefault="005A3D2D" w:rsidP="005A3D2D">
            <w:pPr>
              <w:rPr>
                <w:rFonts w:ascii="Times New Roman" w:hAnsi="Times New Roman" w:cs="Times New Roman"/>
              </w:rPr>
            </w:pPr>
            <w:r w:rsidRPr="00E46C47">
              <w:rPr>
                <w:rFonts w:ascii="Times New Roman" w:hAnsi="Times New Roman" w:cs="Times New Roman"/>
                <w:sz w:val="28"/>
                <w:szCs w:val="28"/>
              </w:rPr>
              <w:t>Тижневих годин для денної форми навчання:</w:t>
            </w:r>
          </w:p>
          <w:p w:rsidR="005A3D2D" w:rsidRPr="00E46C47" w:rsidRDefault="005A3D2D" w:rsidP="005A3D2D">
            <w:pPr>
              <w:rPr>
                <w:rFonts w:ascii="Times New Roman" w:hAnsi="Times New Roman" w:cs="Times New Roman"/>
              </w:rPr>
            </w:pPr>
            <w:r w:rsidRPr="00E46C47">
              <w:rPr>
                <w:rFonts w:ascii="Times New Roman" w:hAnsi="Times New Roman" w:cs="Times New Roman"/>
                <w:sz w:val="28"/>
                <w:szCs w:val="28"/>
              </w:rPr>
              <w:t xml:space="preserve">аудиторних </w:t>
            </w:r>
          </w:p>
          <w:p w:rsidR="005A3D2D" w:rsidRPr="00BA2337" w:rsidRDefault="005A3D2D" w:rsidP="005A3D2D">
            <w:pPr>
              <w:rPr>
                <w:rFonts w:ascii="Times New Roman" w:hAnsi="Times New Roman" w:cs="Times New Roman"/>
              </w:rPr>
            </w:pPr>
            <w:r w:rsidRPr="00E46C47">
              <w:rPr>
                <w:rFonts w:ascii="Times New Roman" w:hAnsi="Times New Roman" w:cs="Times New Roman"/>
                <w:sz w:val="28"/>
                <w:szCs w:val="28"/>
              </w:rPr>
              <w:t xml:space="preserve">самостійної роботи студента </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Освітній ступінь / освітньо-кваліфікаційний рівень:</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магістр</w:t>
            </w: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 xml:space="preserve">20 </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6</w:t>
            </w:r>
            <w:r w:rsidRPr="00BA2337">
              <w:rPr>
                <w:rFonts w:ascii="Times New Roman" w:hAnsi="Times New Roman" w:cs="Times New Roman"/>
                <w:sz w:val="28"/>
                <w:szCs w:val="28"/>
              </w:rPr>
              <w:t xml:space="preserve"> год.</w:t>
            </w:r>
          </w:p>
        </w:tc>
      </w:tr>
      <w:tr w:rsidR="005A3D2D" w:rsidRPr="00BA2337" w:rsidTr="005A3D2D">
        <w:trPr>
          <w:trHeight w:val="320"/>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Pr>
                <w:rFonts w:ascii="Times New Roman" w:hAnsi="Times New Roman" w:cs="Times New Roman"/>
                <w:b/>
                <w:sz w:val="28"/>
                <w:szCs w:val="28"/>
              </w:rPr>
              <w:t>С</w:t>
            </w:r>
            <w:r w:rsidRPr="00BA2337">
              <w:rPr>
                <w:rFonts w:ascii="Times New Roman" w:hAnsi="Times New Roman" w:cs="Times New Roman"/>
                <w:b/>
                <w:sz w:val="28"/>
                <w:szCs w:val="28"/>
              </w:rPr>
              <w:t>емінарські</w:t>
            </w:r>
          </w:p>
        </w:tc>
      </w:tr>
      <w:tr w:rsidR="005A3D2D" w:rsidRPr="00BA2337" w:rsidTr="005A3D2D">
        <w:trPr>
          <w:trHeight w:val="320"/>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6</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Лабораторні</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4</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Самостійна робота</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 xml:space="preserve">60 </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80</w:t>
            </w:r>
            <w:r w:rsidRPr="00BA2337">
              <w:rPr>
                <w:rFonts w:ascii="Times New Roman" w:hAnsi="Times New Roman" w:cs="Times New Roman"/>
                <w:sz w:val="28"/>
                <w:szCs w:val="28"/>
              </w:rPr>
              <w:t xml:space="preserve"> год.</w:t>
            </w:r>
          </w:p>
        </w:tc>
      </w:tr>
      <w:tr w:rsidR="005A3D2D" w:rsidRPr="00BA2337" w:rsidTr="005A3D2D">
        <w:trPr>
          <w:trHeight w:val="976"/>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rPr>
            </w:pPr>
            <w:r w:rsidRPr="00BA2337">
              <w:rPr>
                <w:rFonts w:ascii="Times New Roman" w:hAnsi="Times New Roman" w:cs="Times New Roman"/>
                <w:b/>
                <w:sz w:val="28"/>
                <w:szCs w:val="28"/>
              </w:rPr>
              <w:t xml:space="preserve">Вид семестрового контролю: </w:t>
            </w:r>
            <w:r>
              <w:rPr>
                <w:rFonts w:ascii="Times New Roman" w:hAnsi="Times New Roman" w:cs="Times New Roman"/>
                <w:b/>
                <w:sz w:val="28"/>
                <w:szCs w:val="28"/>
              </w:rPr>
              <w:t>екзамен</w:t>
            </w:r>
          </w:p>
        </w:tc>
      </w:tr>
    </w:tbl>
    <w:p w:rsidR="001C5289" w:rsidRPr="00685241" w:rsidRDefault="001C5289" w:rsidP="005A3D2D">
      <w:pPr>
        <w:pStyle w:val="1"/>
        <w:spacing w:before="0" w:after="0"/>
        <w:jc w:val="center"/>
        <w:rPr>
          <w:rFonts w:ascii="Times New Roman" w:hAnsi="Times New Roman"/>
          <w:sz w:val="28"/>
          <w:szCs w:val="28"/>
        </w:rPr>
      </w:pPr>
    </w:p>
    <w:p w:rsidR="001C5289" w:rsidRDefault="001C5289" w:rsidP="005A3D2D">
      <w:pPr>
        <w:pStyle w:val="1"/>
        <w:spacing w:before="0" w:after="0"/>
        <w:jc w:val="center"/>
        <w:rPr>
          <w:rFonts w:ascii="Times New Roman" w:eastAsia="Arial Unicode MS" w:hAnsi="Times New Roman"/>
          <w:b w:val="0"/>
          <w:bCs/>
          <w:color w:val="auto"/>
          <w:kern w:val="0"/>
          <w:sz w:val="28"/>
          <w:szCs w:val="28"/>
        </w:rPr>
      </w:pPr>
      <w:r w:rsidRPr="00685241">
        <w:rPr>
          <w:rFonts w:ascii="Times New Roman" w:hAnsi="Times New Roman"/>
          <w:b w:val="0"/>
          <w:sz w:val="28"/>
          <w:szCs w:val="28"/>
        </w:rPr>
        <w:br w:type="page"/>
      </w:r>
    </w:p>
    <w:p w:rsidR="00C60E71" w:rsidRPr="00C60E71" w:rsidRDefault="00C60E71" w:rsidP="00C60E71"/>
    <w:p w:rsidR="005A3D2D" w:rsidRPr="005A3D2D" w:rsidRDefault="005A3D2D" w:rsidP="005A3D2D">
      <w:pPr>
        <w:keepNext/>
        <w:spacing w:after="240"/>
        <w:ind w:left="357"/>
        <w:jc w:val="center"/>
        <w:outlineLvl w:val="0"/>
        <w:rPr>
          <w:rFonts w:ascii="Times New Roman" w:eastAsia="Times New Roman" w:hAnsi="Times New Roman" w:cs="Times New Roman"/>
          <w:b/>
          <w:kern w:val="32"/>
          <w:sz w:val="28"/>
          <w:szCs w:val="28"/>
        </w:rPr>
      </w:pPr>
      <w:r w:rsidRPr="005A3D2D">
        <w:rPr>
          <w:rFonts w:ascii="Times New Roman" w:eastAsia="Times New Roman" w:hAnsi="Times New Roman" w:cs="Times New Roman"/>
          <w:b/>
          <w:kern w:val="32"/>
          <w:sz w:val="28"/>
          <w:szCs w:val="28"/>
        </w:rPr>
        <w:t>МЕТА ТА ЗАВДАННЯ НАВЧАЛЬНОЇ ДИСЦИПЛІНИ</w:t>
      </w:r>
    </w:p>
    <w:p w:rsidR="00A60094" w:rsidRPr="001D3454" w:rsidRDefault="00A60094" w:rsidP="00A60094">
      <w:pPr>
        <w:ind w:firstLine="900"/>
        <w:jc w:val="both"/>
        <w:rPr>
          <w:rFonts w:ascii="Times New Roman" w:hAnsi="Times New Roman" w:cs="Times New Roman"/>
          <w:sz w:val="28"/>
          <w:szCs w:val="28"/>
        </w:rPr>
      </w:pPr>
      <w:r w:rsidRPr="001D3454">
        <w:rPr>
          <w:rFonts w:ascii="Times New Roman" w:hAnsi="Times New Roman" w:cs="Times New Roman"/>
          <w:b/>
          <w:sz w:val="28"/>
          <w:szCs w:val="28"/>
          <w:u w:val="single"/>
        </w:rPr>
        <w:t xml:space="preserve">Мета: </w:t>
      </w:r>
      <w:r w:rsidRPr="001D3454">
        <w:rPr>
          <w:rFonts w:ascii="Times New Roman" w:hAnsi="Times New Roman" w:cs="Times New Roman"/>
          <w:sz w:val="28"/>
          <w:szCs w:val="28"/>
        </w:rPr>
        <w:t xml:space="preserve">дисципліни полягає в опануванні здобувачами теоретичних знань та практичних навичок застосування гендерночутливих підходів в соціальній роботі. </w:t>
      </w:r>
    </w:p>
    <w:p w:rsidR="00A60094" w:rsidRPr="001D3454" w:rsidRDefault="00A60094" w:rsidP="00A60094">
      <w:pPr>
        <w:ind w:firstLine="567"/>
        <w:jc w:val="both"/>
        <w:rPr>
          <w:rFonts w:ascii="Times New Roman" w:hAnsi="Times New Roman" w:cs="Times New Roman"/>
          <w:sz w:val="28"/>
          <w:szCs w:val="28"/>
        </w:rPr>
      </w:pPr>
      <w:r w:rsidRPr="001D3454">
        <w:rPr>
          <w:rFonts w:ascii="Times New Roman" w:hAnsi="Times New Roman" w:cs="Times New Roman"/>
          <w:b/>
          <w:sz w:val="28"/>
          <w:szCs w:val="28"/>
          <w:u w:val="single"/>
          <w:lang w:eastAsia="uk-UA"/>
        </w:rPr>
        <w:t xml:space="preserve">Основними завданнями </w:t>
      </w:r>
      <w:r w:rsidRPr="001D3454">
        <w:rPr>
          <w:rFonts w:ascii="Times New Roman" w:hAnsi="Times New Roman" w:cs="Times New Roman"/>
          <w:sz w:val="28"/>
          <w:szCs w:val="28"/>
          <w:lang w:eastAsia="uk-UA"/>
        </w:rPr>
        <w:t>вивчення дисципліни «</w:t>
      </w:r>
      <w:r w:rsidRPr="001D3454">
        <w:rPr>
          <w:rFonts w:ascii="Times New Roman" w:hAnsi="Times New Roman" w:cs="Times New Roman"/>
          <w:sz w:val="28"/>
          <w:szCs w:val="28"/>
        </w:rPr>
        <w:t>Гендерні аспекти соціальної роботи</w:t>
      </w:r>
      <w:r w:rsidRPr="001D3454">
        <w:rPr>
          <w:rFonts w:ascii="Times New Roman" w:hAnsi="Times New Roman" w:cs="Times New Roman"/>
          <w:b/>
          <w:sz w:val="28"/>
          <w:szCs w:val="28"/>
        </w:rPr>
        <w:t xml:space="preserve">» </w:t>
      </w:r>
      <w:r w:rsidRPr="001D3454">
        <w:rPr>
          <w:rFonts w:ascii="Times New Roman" w:hAnsi="Times New Roman" w:cs="Times New Roman"/>
          <w:sz w:val="28"/>
          <w:szCs w:val="28"/>
          <w:lang w:eastAsia="uk-UA"/>
        </w:rPr>
        <w:t xml:space="preserve">є опанування теоретичних засад гендерночутливого підходу у соціальній роботі; ознайомлення з проявами гендерної нерівності в сучасному українському суспільстві та ролі соціальної роботи у подолання цієї нерівності; формування навичок гендерного аналізу бюджетування та гендерного аналізу технології соціальної роботи та програм соціальної роботи з окремими групами населення.  </w:t>
      </w:r>
    </w:p>
    <w:p w:rsidR="005877E9" w:rsidRPr="005877E9" w:rsidRDefault="005877E9" w:rsidP="00C60E71">
      <w:pPr>
        <w:shd w:val="clear" w:color="auto" w:fill="FFFFFF"/>
        <w:spacing w:line="360" w:lineRule="auto"/>
        <w:rPr>
          <w:rFonts w:ascii="Times New Roman" w:eastAsia="Times New Roman" w:hAnsi="Times New Roman" w:cs="Times New Roman"/>
          <w:bCs w:val="0"/>
          <w:color w:val="auto"/>
          <w:sz w:val="28"/>
          <w:szCs w:val="28"/>
          <w:lang w:eastAsia="ru-RU"/>
        </w:rPr>
      </w:pPr>
    </w:p>
    <w:p w:rsidR="005A3D2D" w:rsidRPr="00BA2337" w:rsidRDefault="001C5289" w:rsidP="005A3D2D">
      <w:pPr>
        <w:pStyle w:val="1"/>
        <w:spacing w:before="0" w:after="240"/>
        <w:ind w:left="357"/>
        <w:jc w:val="center"/>
        <w:rPr>
          <w:rFonts w:ascii="Times New Roman" w:hAnsi="Times New Roman"/>
          <w:sz w:val="28"/>
          <w:szCs w:val="28"/>
        </w:rPr>
      </w:pPr>
      <w:r w:rsidRPr="00685241">
        <w:rPr>
          <w:rFonts w:ascii="Times New Roman" w:hAnsi="Times New Roman"/>
          <w:sz w:val="28"/>
          <w:szCs w:val="28"/>
        </w:rPr>
        <w:br w:type="page"/>
      </w:r>
      <w:r w:rsidR="005A3D2D" w:rsidRPr="00BA2337">
        <w:rPr>
          <w:rFonts w:ascii="Times New Roman" w:hAnsi="Times New Roman"/>
          <w:sz w:val="28"/>
          <w:szCs w:val="28"/>
        </w:rPr>
        <w:lastRenderedPageBreak/>
        <w:t>. РЕЗУЛЬТАТИ НАВЧАННЯ ЗА ДИСЦИПЛІНОЮ, ВІДПОВІДНІСТЬ ПРОГРАМНИХ КОМПЕТЕНТНОСТЕЙ ТА РЕЗУЛЬТАТІВ НАВЧАННЯ КОМПОНЕНТАМ ОСВІТНЬОЇ ПРОГРАМИ</w:t>
      </w:r>
    </w:p>
    <w:p w:rsidR="00A60094" w:rsidRPr="001D3454" w:rsidRDefault="00A60094" w:rsidP="00A60094">
      <w:pPr>
        <w:ind w:firstLine="900"/>
        <w:jc w:val="both"/>
        <w:rPr>
          <w:rFonts w:ascii="Times New Roman" w:hAnsi="Times New Roman" w:cs="Times New Roman"/>
          <w:b/>
          <w:sz w:val="28"/>
          <w:szCs w:val="28"/>
          <w:u w:val="single"/>
        </w:rPr>
      </w:pPr>
      <w:r w:rsidRPr="001D3454">
        <w:rPr>
          <w:rFonts w:ascii="Times New Roman" w:hAnsi="Times New Roman" w:cs="Times New Roman"/>
          <w:b/>
          <w:sz w:val="28"/>
          <w:szCs w:val="28"/>
          <w:u w:val="single"/>
        </w:rPr>
        <w:t>Знати:</w:t>
      </w:r>
    </w:p>
    <w:p w:rsidR="00A60094" w:rsidRPr="001D3454" w:rsidRDefault="00A60094" w:rsidP="00A60094">
      <w:pPr>
        <w:pStyle w:val="a8"/>
        <w:numPr>
          <w:ilvl w:val="0"/>
          <w:numId w:val="27"/>
        </w:numPr>
        <w:spacing w:line="276" w:lineRule="auto"/>
        <w:jc w:val="both"/>
        <w:rPr>
          <w:sz w:val="28"/>
          <w:szCs w:val="28"/>
        </w:rPr>
      </w:pPr>
      <w:r w:rsidRPr="001D3454">
        <w:rPr>
          <w:sz w:val="28"/>
          <w:szCs w:val="28"/>
        </w:rPr>
        <w:t xml:space="preserve">сутність та теоретичні засади ґендерного підходу у соціальних науках; </w:t>
      </w:r>
    </w:p>
    <w:p w:rsidR="00A60094" w:rsidRPr="001D3454" w:rsidRDefault="00A60094" w:rsidP="00A60094">
      <w:pPr>
        <w:pStyle w:val="a8"/>
        <w:numPr>
          <w:ilvl w:val="0"/>
          <w:numId w:val="27"/>
        </w:numPr>
        <w:spacing w:line="276" w:lineRule="auto"/>
        <w:jc w:val="both"/>
        <w:rPr>
          <w:sz w:val="28"/>
          <w:szCs w:val="28"/>
        </w:rPr>
      </w:pPr>
      <w:r w:rsidRPr="001D3454">
        <w:rPr>
          <w:sz w:val="28"/>
          <w:szCs w:val="28"/>
        </w:rPr>
        <w:t>форми прояву ґендерної нерівності в сферах економіки, політики та сімейних відносин у сучасному українському суспільстві;</w:t>
      </w:r>
    </w:p>
    <w:p w:rsidR="00A60094" w:rsidRPr="001D3454" w:rsidRDefault="00A60094" w:rsidP="00A60094">
      <w:pPr>
        <w:pStyle w:val="a8"/>
        <w:numPr>
          <w:ilvl w:val="0"/>
          <w:numId w:val="27"/>
        </w:numPr>
        <w:spacing w:line="276" w:lineRule="auto"/>
        <w:jc w:val="both"/>
        <w:rPr>
          <w:sz w:val="28"/>
          <w:szCs w:val="28"/>
        </w:rPr>
      </w:pPr>
      <w:r w:rsidRPr="001D3454">
        <w:rPr>
          <w:sz w:val="28"/>
          <w:szCs w:val="28"/>
        </w:rPr>
        <w:t>основні механізми конструювання гендерних нерівностей, представлені соціальною політикою, ринком праці та соціокультурними очікуваннями відносно гендерних відносин у сучасному українському суспільстві;</w:t>
      </w:r>
    </w:p>
    <w:p w:rsidR="00A60094" w:rsidRPr="001D3454" w:rsidRDefault="00A60094" w:rsidP="00A60094">
      <w:pPr>
        <w:pStyle w:val="a8"/>
        <w:numPr>
          <w:ilvl w:val="0"/>
          <w:numId w:val="27"/>
        </w:numPr>
        <w:spacing w:line="276" w:lineRule="auto"/>
        <w:jc w:val="both"/>
        <w:rPr>
          <w:sz w:val="28"/>
          <w:szCs w:val="28"/>
        </w:rPr>
      </w:pPr>
      <w:r w:rsidRPr="001D3454">
        <w:rPr>
          <w:sz w:val="28"/>
          <w:szCs w:val="28"/>
        </w:rPr>
        <w:t>принципи гендерночутливого бюджетування;</w:t>
      </w:r>
    </w:p>
    <w:p w:rsidR="00A60094" w:rsidRPr="001D3454" w:rsidRDefault="00A60094" w:rsidP="00A60094">
      <w:pPr>
        <w:pStyle w:val="a8"/>
        <w:numPr>
          <w:ilvl w:val="0"/>
          <w:numId w:val="27"/>
        </w:numPr>
        <w:spacing w:line="276" w:lineRule="auto"/>
        <w:jc w:val="both"/>
        <w:rPr>
          <w:sz w:val="28"/>
          <w:szCs w:val="28"/>
        </w:rPr>
      </w:pPr>
      <w:r w:rsidRPr="001D3454">
        <w:rPr>
          <w:sz w:val="28"/>
          <w:szCs w:val="28"/>
        </w:rPr>
        <w:t xml:space="preserve">роль гендерночутливих підходів у теорії та практиці соціальної роботи з окремими групами клієнтів. </w:t>
      </w:r>
    </w:p>
    <w:p w:rsidR="00A60094" w:rsidRPr="001D3454" w:rsidRDefault="00A60094" w:rsidP="00A60094">
      <w:pPr>
        <w:ind w:firstLine="900"/>
        <w:jc w:val="both"/>
        <w:rPr>
          <w:rFonts w:ascii="Times New Roman" w:hAnsi="Times New Roman" w:cs="Times New Roman"/>
          <w:sz w:val="28"/>
          <w:szCs w:val="28"/>
          <w:u w:val="single"/>
        </w:rPr>
      </w:pPr>
      <w:r w:rsidRPr="001D3454">
        <w:rPr>
          <w:rFonts w:ascii="Times New Roman" w:hAnsi="Times New Roman" w:cs="Times New Roman"/>
          <w:b/>
          <w:sz w:val="28"/>
          <w:szCs w:val="28"/>
          <w:u w:val="single"/>
        </w:rPr>
        <w:t>Уміти:</w:t>
      </w:r>
    </w:p>
    <w:p w:rsidR="00A60094" w:rsidRPr="001D3454" w:rsidRDefault="00A60094" w:rsidP="00A60094">
      <w:pPr>
        <w:pStyle w:val="a8"/>
        <w:numPr>
          <w:ilvl w:val="0"/>
          <w:numId w:val="28"/>
        </w:numPr>
        <w:spacing w:line="276" w:lineRule="auto"/>
        <w:jc w:val="both"/>
        <w:rPr>
          <w:sz w:val="28"/>
          <w:szCs w:val="28"/>
        </w:rPr>
      </w:pPr>
      <w:r w:rsidRPr="001D3454">
        <w:rPr>
          <w:sz w:val="28"/>
          <w:szCs w:val="28"/>
        </w:rPr>
        <w:t xml:space="preserve">аналізувати прояви гендерної нерівності в суспільстві; </w:t>
      </w:r>
    </w:p>
    <w:p w:rsidR="00A60094" w:rsidRPr="001D3454" w:rsidRDefault="00A60094" w:rsidP="00A60094">
      <w:pPr>
        <w:pStyle w:val="a8"/>
        <w:numPr>
          <w:ilvl w:val="0"/>
          <w:numId w:val="28"/>
        </w:numPr>
        <w:spacing w:line="276" w:lineRule="auto"/>
        <w:jc w:val="both"/>
        <w:rPr>
          <w:sz w:val="28"/>
          <w:szCs w:val="28"/>
        </w:rPr>
      </w:pPr>
      <w:r w:rsidRPr="001D3454">
        <w:rPr>
          <w:sz w:val="28"/>
          <w:szCs w:val="28"/>
        </w:rPr>
        <w:t xml:space="preserve">критично аналізувати процес  конструювання гендерної нерівності, у тому числі у теорії та практиці соціальної роботи; </w:t>
      </w:r>
    </w:p>
    <w:p w:rsidR="00A60094" w:rsidRPr="001D3454" w:rsidRDefault="00A60094" w:rsidP="00A60094">
      <w:pPr>
        <w:pStyle w:val="a8"/>
        <w:numPr>
          <w:ilvl w:val="0"/>
          <w:numId w:val="28"/>
        </w:numPr>
        <w:spacing w:line="276" w:lineRule="auto"/>
        <w:jc w:val="both"/>
        <w:rPr>
          <w:sz w:val="28"/>
          <w:szCs w:val="28"/>
        </w:rPr>
      </w:pPr>
      <w:r w:rsidRPr="001D3454">
        <w:rPr>
          <w:sz w:val="28"/>
          <w:szCs w:val="28"/>
        </w:rPr>
        <w:t>застосовувати принципи антидискримінаційної соціальної роботи.</w:t>
      </w:r>
    </w:p>
    <w:p w:rsidR="005A3D2D" w:rsidRPr="00A60094"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sidRPr="007A68A8">
        <w:rPr>
          <w:rFonts w:ascii="Times New Roman" w:eastAsia="Times New Roman" w:hAnsi="Times New Roman" w:cs="Times New Roman"/>
          <w:color w:val="auto"/>
          <w:sz w:val="28"/>
          <w:szCs w:val="28"/>
          <w:lang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eastAsia="ru-RU"/>
        </w:rPr>
        <w:t>програмні компетентності:</w:t>
      </w:r>
    </w:p>
    <w:p w:rsidR="005A3D2D" w:rsidRPr="007A68A8" w:rsidRDefault="005A3D2D" w:rsidP="005A3D2D">
      <w:pPr>
        <w:numPr>
          <w:ilvl w:val="0"/>
          <w:numId w:val="23"/>
        </w:num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загальні компетентності</w:t>
      </w:r>
      <w:r w:rsidRPr="007A68A8">
        <w:rPr>
          <w:rFonts w:ascii="Times New Roman" w:eastAsia="Times New Roman" w:hAnsi="Times New Roman" w:cs="Times New Roman"/>
          <w:color w:val="auto"/>
          <w:sz w:val="28"/>
          <w:szCs w:val="28"/>
          <w:lang w:eastAsia="ru-RU"/>
        </w:rPr>
        <w:t>:</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ЗК1. </w:t>
      </w:r>
      <w:r w:rsidRPr="007A68A8">
        <w:rPr>
          <w:rFonts w:ascii="Times New Roman" w:eastAsia="Times New Roman" w:hAnsi="Times New Roman" w:cs="Times New Roman"/>
          <w:color w:val="auto"/>
          <w:sz w:val="28"/>
          <w:szCs w:val="28"/>
          <w:lang w:eastAsia="ru-RU"/>
        </w:rPr>
        <w:t>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умовисновки, визначати завдання діяльності та пропонувати ефективні рішення. Спроможність синтезувати досвід, знання, вміння для досягнення мети.</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ЗК2. Здатність розробляти і управляти проектами.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ЗК3. Здатність оцінювати та забезпечувати якість виконуваних робіт.</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ЗК6. Здатність виявляти ініціативу та підприємливість.</w:t>
      </w:r>
      <w:r w:rsidRPr="00B20660">
        <w:rPr>
          <w:rFonts w:ascii="Times New Roman" w:eastAsia="Times New Roman" w:hAnsi="Times New Roman" w:cs="Times New Roman"/>
          <w:color w:val="auto"/>
          <w:sz w:val="28"/>
          <w:szCs w:val="28"/>
          <w:lang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eastAsia="ru-RU"/>
        </w:rPr>
        <w:t>педагогічних та соціальних</w:t>
      </w:r>
      <w:r w:rsidRPr="00B20660">
        <w:rPr>
          <w:rFonts w:ascii="Times New Roman" w:eastAsia="Times New Roman" w:hAnsi="Times New Roman" w:cs="Times New Roman"/>
          <w:color w:val="auto"/>
          <w:sz w:val="28"/>
          <w:szCs w:val="28"/>
          <w:lang w:eastAsia="ru-RU"/>
        </w:rPr>
        <w:t xml:space="preserve"> проблем.</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ЗК7. Здатність до адаптації та дії в новій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ЗК8. Здатність генерувати нові ідеї. </w:t>
      </w:r>
      <w:r w:rsidRPr="007A68A8">
        <w:rPr>
          <w:rFonts w:ascii="Times New Roman" w:eastAsia="Times New Roman" w:hAnsi="Times New Roman" w:cs="Times New Roman"/>
          <w:color w:val="auto"/>
          <w:sz w:val="28"/>
          <w:szCs w:val="28"/>
          <w:lang w:eastAsia="ru-RU"/>
        </w:rPr>
        <w:t xml:space="preserve">Набуття гнучкого мислення, готовності до творчого застосування наукових психологічних знань та </w:t>
      </w:r>
      <w:r w:rsidRPr="007A68A8">
        <w:rPr>
          <w:rFonts w:ascii="Times New Roman" w:eastAsia="Times New Roman" w:hAnsi="Times New Roman" w:cs="Times New Roman"/>
          <w:color w:val="auto"/>
          <w:sz w:val="28"/>
          <w:szCs w:val="28"/>
          <w:lang w:eastAsia="ru-RU"/>
        </w:rPr>
        <w:lastRenderedPageBreak/>
        <w:t>фахових умінь у широкому діапазоні соціальної діяльності для генерування нових ідей.</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ЗК9. Навички міжособистісної взаємодії. </w:t>
      </w:r>
      <w:r w:rsidRPr="007A68A8">
        <w:rPr>
          <w:rFonts w:ascii="Times New Roman" w:eastAsia="Times New Roman" w:hAnsi="Times New Roman" w:cs="Times New Roman"/>
          <w:color w:val="auto"/>
          <w:sz w:val="28"/>
          <w:szCs w:val="28"/>
          <w:lang w:eastAsia="ru-RU"/>
        </w:rPr>
        <w:t xml:space="preserve">Продукувати дискурси з урахуванням </w:t>
      </w:r>
      <w:r>
        <w:rPr>
          <w:rFonts w:ascii="Times New Roman" w:eastAsia="Times New Roman" w:hAnsi="Times New Roman" w:cs="Times New Roman"/>
          <w:color w:val="auto"/>
          <w:sz w:val="28"/>
          <w:szCs w:val="28"/>
          <w:lang w:eastAsia="ru-RU"/>
        </w:rPr>
        <w:t>індивідуальних і вікових особливостей студентів</w:t>
      </w:r>
      <w:r w:rsidRPr="007A68A8">
        <w:rPr>
          <w:rFonts w:ascii="Times New Roman" w:eastAsia="Times New Roman" w:hAnsi="Times New Roman" w:cs="Times New Roman"/>
          <w:color w:val="auto"/>
          <w:sz w:val="28"/>
          <w:szCs w:val="28"/>
          <w:lang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eastAsia="ru-RU"/>
        </w:rPr>
        <w:t xml:space="preserve">ЗК10. Здатність працювати в команді. </w:t>
      </w:r>
      <w:r w:rsidRPr="007A68A8">
        <w:rPr>
          <w:rFonts w:ascii="Times New Roman" w:eastAsia="Times New Roman" w:hAnsi="Times New Roman" w:cs="Times New Roman"/>
          <w:color w:val="auto"/>
          <w:sz w:val="28"/>
          <w:szCs w:val="28"/>
          <w:lang w:eastAsia="ru-RU"/>
        </w:rPr>
        <w:t xml:space="preserve">Спроможність працювати в команді, самоорганізовуватися, вмотивовувати і згуртовувати </w:t>
      </w:r>
      <w:r>
        <w:rPr>
          <w:rFonts w:ascii="Times New Roman" w:eastAsia="Times New Roman" w:hAnsi="Times New Roman" w:cs="Times New Roman"/>
          <w:color w:val="auto"/>
          <w:sz w:val="28"/>
          <w:szCs w:val="28"/>
          <w:lang w:eastAsia="ru-RU"/>
        </w:rPr>
        <w:t xml:space="preserve">студентів, </w:t>
      </w:r>
      <w:r w:rsidRPr="007A68A8">
        <w:rPr>
          <w:rFonts w:ascii="Times New Roman" w:eastAsia="Times New Roman" w:hAnsi="Times New Roman" w:cs="Times New Roman"/>
          <w:color w:val="auto"/>
          <w:sz w:val="28"/>
          <w:szCs w:val="28"/>
          <w:lang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p>
    <w:p w:rsidR="005A3D2D" w:rsidRPr="007A68A8" w:rsidRDefault="005A3D2D" w:rsidP="005A3D2D">
      <w:pPr>
        <w:numPr>
          <w:ilvl w:val="0"/>
          <w:numId w:val="23"/>
        </w:num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спеціальні (</w:t>
      </w:r>
      <w:r w:rsidRPr="007A68A8">
        <w:rPr>
          <w:rFonts w:ascii="Times New Roman" w:eastAsia="Times New Roman" w:hAnsi="Times New Roman" w:cs="Times New Roman"/>
          <w:b/>
          <w:color w:val="auto"/>
          <w:sz w:val="28"/>
          <w:szCs w:val="28"/>
          <w:lang w:eastAsia="ru-RU"/>
        </w:rPr>
        <w:t>фахові</w:t>
      </w:r>
      <w:r>
        <w:rPr>
          <w:rFonts w:ascii="Times New Roman" w:eastAsia="Times New Roman" w:hAnsi="Times New Roman" w:cs="Times New Roman"/>
          <w:b/>
          <w:color w:val="auto"/>
          <w:sz w:val="28"/>
          <w:szCs w:val="28"/>
          <w:lang w:eastAsia="ru-RU"/>
        </w:rPr>
        <w:t>)</w:t>
      </w:r>
      <w:r w:rsidRPr="007A68A8">
        <w:rPr>
          <w:rFonts w:ascii="Times New Roman" w:eastAsia="Times New Roman" w:hAnsi="Times New Roman" w:cs="Times New Roman"/>
          <w:b/>
          <w:color w:val="auto"/>
          <w:sz w:val="28"/>
          <w:szCs w:val="28"/>
          <w:lang w:eastAsia="ru-RU"/>
        </w:rPr>
        <w:t xml:space="preserve"> компетентності</w:t>
      </w:r>
      <w:r w:rsidRPr="007A68A8">
        <w:rPr>
          <w:rFonts w:ascii="Times New Roman" w:eastAsia="Times New Roman" w:hAnsi="Times New Roman" w:cs="Times New Roman"/>
          <w:color w:val="auto"/>
          <w:sz w:val="28"/>
          <w:szCs w:val="28"/>
          <w:lang w:eastAsia="ru-RU"/>
        </w:rPr>
        <w:t>:</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СК1.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до розуміння та використання сучасних теорій, методологій і методів.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СК3.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професійно діагностувати, прогнозувати, проектувати та моделюваси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СК4. Здатність до впровадження методів і технологій інноваційного практикування та управління в системі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 5. Здатність спілкуватися з представниками інших професійних груп.</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СК6. Здатність до оцінки процесу і результату професійної діяльності та якості соціальних послуг.</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СК7. Здатність до професійної рефлексії.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СК8. Здатність до спільної діяльності та групової мотивації, фасилітації процесів прийняття групових рішень.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СК9. Здатність доводити знання та власні висновки до фахівців та нефахівців.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СК10. Здатність виявляти ініціативу та підприємливість задля вирішення соціальних проблем через упровадження соціальних інновацій.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СК11. Здатність виявляти професійну ідентичність та діяти згідно з цінностями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СК13. Здатність до формування позитивного іміджу професії, її  статусу у суспільстві.</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СК14. Здатність до ефективного менеджменту організації.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СК16. Здатність упроваджувати результати наукового пошуку в практичну діяльність.</w:t>
      </w:r>
    </w:p>
    <w:p w:rsidR="005A3D2D"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Очікувані результати навчання: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eastAsia="Times New Roman" w:hAnsi="Times New Roman" w:cs="Times New Roman"/>
          <w:color w:val="auto"/>
          <w:sz w:val="28"/>
          <w:szCs w:val="28"/>
          <w:lang w:eastAsia="ru-RU"/>
        </w:rPr>
        <w:t xml:space="preserve"> Самостійно й автономно знаходити інформацію, необхідну для професійного зростання, опановувати її, засвоювати та продокувати нові знання, розвивати професійні навики та якості.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lastRenderedPageBreak/>
        <w:t>ПРН</w:t>
      </w:r>
      <w:r>
        <w:rPr>
          <w:rFonts w:ascii="Times New Roman" w:hAnsi="Times New Roman" w:cs="Times New Roman"/>
          <w:sz w:val="28"/>
          <w:szCs w:val="28"/>
        </w:rPr>
        <w:t xml:space="preserve"> 2</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Застосовувати загальне та спеціалізоване забезпечення для вирішення професійних задач та здійснення наукового дослідження.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3</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Автономно приймати рішення в складних та непередбачуваних ситуаціях.</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4</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Виконувати рефлексивні практики в конкексті цінностей соціальної роботи, відповідальності, у тому числі для запобігання професійному вигоранню.</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5</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Розв’язувати складні задачі і проблеми, що потребують оновлення й інтеграції знань в умовах неповної інформації та суперечливих вимог.</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6</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Критично оцінювати результати наукових досліджень і різні джерела знань.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7</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Показувати глибинне знання та системне розуміння теоретичних концепцій.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8</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Аналізувати соціальний та індивідуальний контекст проблем особи, соціальної групи, громади.</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9</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Ініціювати командоутворення  та координувати командну роботу.</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0</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Демонструвати ініціативу, самостійність, оригінальність, генерувати нові ідеї для розв’язання завдань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1</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Розробляти критерії та показники ефективності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2</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Самостійно будувати та підтримувати цілеспрямовані, професійні взаємини з широким колом людей.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3</w:t>
      </w:r>
      <w:r w:rsidRPr="00043D31">
        <w:rPr>
          <w:rFonts w:ascii="Times New Roman" w:hAnsi="Times New Roman" w:cs="Times New Roman"/>
          <w:sz w:val="28"/>
          <w:szCs w:val="28"/>
        </w:rPr>
        <w:t>.</w:t>
      </w:r>
      <w:r>
        <w:rPr>
          <w:rFonts w:ascii="Times New Roman" w:eastAsia="Times New Roman" w:hAnsi="Times New Roman" w:cs="Times New Roman"/>
          <w:color w:val="auto"/>
          <w:sz w:val="28"/>
          <w:szCs w:val="28"/>
          <w:lang w:eastAsia="ru-RU"/>
        </w:rPr>
        <w:t xml:space="preserve"> Демонструвати позитивне ставлення до власної професії та відповідати своєю поведінкою етичним принципам і стандартам соціальної роботи.</w:t>
      </w:r>
    </w:p>
    <w:p w:rsidR="001412C4" w:rsidRDefault="001412C4" w:rsidP="005A3D2D">
      <w:pPr>
        <w:tabs>
          <w:tab w:val="left" w:pos="0"/>
        </w:tabs>
        <w:ind w:left="426"/>
        <w:contextualSpacing/>
        <w:jc w:val="center"/>
        <w:rPr>
          <w:rFonts w:ascii="Times New Roman" w:hAnsi="Times New Roman" w:cs="Times New Roman"/>
          <w:color w:val="auto"/>
          <w:sz w:val="28"/>
          <w:szCs w:val="28"/>
          <w:lang w:eastAsia="ru-RU"/>
        </w:rPr>
      </w:pPr>
    </w:p>
    <w:p w:rsidR="005A3D2D" w:rsidRPr="005A3D2D" w:rsidRDefault="001C5289" w:rsidP="005A3D2D">
      <w:pPr>
        <w:tabs>
          <w:tab w:val="left" w:pos="284"/>
          <w:tab w:val="left" w:pos="567"/>
        </w:tabs>
        <w:jc w:val="center"/>
        <w:rPr>
          <w:rFonts w:ascii="Times New Roman" w:hAnsi="Times New Roman"/>
          <w:b/>
          <w:sz w:val="28"/>
          <w:szCs w:val="28"/>
        </w:rPr>
      </w:pPr>
      <w:r w:rsidRPr="00685241">
        <w:rPr>
          <w:rFonts w:ascii="Times New Roman" w:hAnsi="Times New Roman"/>
          <w:sz w:val="28"/>
          <w:szCs w:val="28"/>
        </w:rPr>
        <w:br w:type="page"/>
      </w:r>
      <w:r w:rsidR="005A3D2D" w:rsidRPr="005A3D2D">
        <w:rPr>
          <w:rFonts w:ascii="Times New Roman" w:hAnsi="Times New Roman"/>
          <w:b/>
          <w:sz w:val="28"/>
          <w:szCs w:val="28"/>
        </w:rPr>
        <w:lastRenderedPageBreak/>
        <w:t>Структура навчальної дисципліни</w:t>
      </w:r>
    </w:p>
    <w:p w:rsidR="005A3D2D" w:rsidRPr="005A3D2D" w:rsidRDefault="005A3D2D" w:rsidP="005A3D2D">
      <w:pPr>
        <w:tabs>
          <w:tab w:val="left" w:pos="284"/>
          <w:tab w:val="left" w:pos="567"/>
        </w:tabs>
        <w:jc w:val="center"/>
        <w:rPr>
          <w:rFonts w:ascii="Times New Roman" w:hAnsi="Times New Roman"/>
          <w:b/>
          <w:sz w:val="28"/>
          <w:szCs w:val="28"/>
        </w:rPr>
      </w:pPr>
      <w:r w:rsidRPr="005A3D2D">
        <w:rPr>
          <w:rFonts w:ascii="Times New Roman" w:hAnsi="Times New Roman"/>
          <w:b/>
          <w:sz w:val="28"/>
          <w:szCs w:val="28"/>
        </w:rPr>
        <w:t>4.2.1. Тематичний план</w:t>
      </w:r>
    </w:p>
    <w:tbl>
      <w:tblPr>
        <w:tblW w:w="10491"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5A3D2D" w:rsidRPr="005A3D2D" w:rsidTr="005A3D2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Форми та методи контролю знань</w:t>
            </w: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заочна форма</w:t>
            </w:r>
          </w:p>
        </w:tc>
        <w:tc>
          <w:tcPr>
            <w:tcW w:w="1270" w:type="dxa"/>
            <w:vMerge/>
            <w:tcBorders>
              <w:left w:val="nil"/>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15</w:t>
            </w:r>
          </w:p>
        </w:tc>
        <w:tc>
          <w:tcPr>
            <w:tcW w:w="1270" w:type="dxa"/>
            <w:tcBorders>
              <w:top w:val="nil"/>
              <w:left w:val="nil"/>
              <w:bottom w:val="single" w:sz="4" w:space="0" w:color="auto"/>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16</w:t>
            </w: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1.</w:t>
            </w:r>
            <w:r w:rsidRPr="005A3D2D">
              <w:rPr>
                <w:rFonts w:ascii="Times New Roman" w:hAnsi="Times New Roman"/>
                <w:b/>
                <w:bCs w:val="0"/>
                <w:sz w:val="28"/>
                <w:szCs w:val="28"/>
              </w:rPr>
              <w:t xml:space="preserve"> Науково-теоретичні основи методики викладання соціальної роботи.</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Змістовий модуль 1</w:t>
            </w:r>
            <w:r w:rsidRPr="005A3D2D">
              <w:rPr>
                <w:rFonts w:ascii="Times New Roman" w:hAnsi="Times New Roman"/>
                <w:bCs w:val="0"/>
                <w:sz w:val="28"/>
                <w:szCs w:val="28"/>
              </w:rPr>
              <w:t>. 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094" w:rsidRPr="00A60094" w:rsidRDefault="005A3D2D" w:rsidP="00A60094">
            <w:pPr>
              <w:tabs>
                <w:tab w:val="left" w:pos="602"/>
              </w:tabs>
              <w:spacing w:line="276" w:lineRule="auto"/>
              <w:rPr>
                <w:rFonts w:ascii="Times New Roman" w:hAnsi="Times New Roman" w:cs="Times New Roman"/>
                <w:sz w:val="22"/>
                <w:szCs w:val="22"/>
              </w:rPr>
            </w:pPr>
            <w:r w:rsidRPr="00A60094">
              <w:rPr>
                <w:rFonts w:ascii="Times New Roman" w:hAnsi="Times New Roman"/>
                <w:sz w:val="22"/>
                <w:szCs w:val="22"/>
              </w:rPr>
              <w:t xml:space="preserve">Тема 1. </w:t>
            </w:r>
            <w:r w:rsidR="00A60094" w:rsidRPr="00A60094">
              <w:rPr>
                <w:rFonts w:ascii="Times New Roman" w:hAnsi="Times New Roman" w:cs="Times New Roman"/>
                <w:sz w:val="22"/>
                <w:szCs w:val="22"/>
              </w:rPr>
              <w:t>Ґендерний підхід: сутність, етапи розвитку та основні поняття.</w:t>
            </w:r>
          </w:p>
          <w:p w:rsidR="005A3D2D" w:rsidRPr="005A3D2D" w:rsidRDefault="005A3D2D" w:rsidP="00A60094">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Default="005A3D2D" w:rsidP="00A60094">
            <w:pPr>
              <w:tabs>
                <w:tab w:val="left" w:pos="284"/>
                <w:tab w:val="left" w:pos="567"/>
              </w:tabs>
              <w:jc w:val="center"/>
              <w:rPr>
                <w:rFonts w:ascii="Times New Roman" w:hAnsi="Times New Roman"/>
                <w:bCs w:val="0"/>
              </w:rPr>
            </w:pPr>
            <w:r w:rsidRPr="005A3D2D">
              <w:rPr>
                <w:rFonts w:ascii="Times New Roman" w:hAnsi="Times New Roman"/>
                <w:sz w:val="28"/>
                <w:szCs w:val="28"/>
              </w:rPr>
              <w:t>Тема 2.</w:t>
            </w:r>
          </w:p>
          <w:p w:rsidR="00A60094" w:rsidRPr="004F18D7" w:rsidRDefault="00A60094" w:rsidP="00A60094">
            <w:pPr>
              <w:tabs>
                <w:tab w:val="left" w:pos="318"/>
              </w:tabs>
              <w:spacing w:line="276" w:lineRule="auto"/>
              <w:rPr>
                <w:rFonts w:ascii="Times New Roman" w:hAnsi="Times New Roman" w:cs="Times New Roman"/>
                <w:sz w:val="22"/>
                <w:szCs w:val="22"/>
              </w:rPr>
            </w:pPr>
            <w:r w:rsidRPr="004F18D7">
              <w:rPr>
                <w:rFonts w:ascii="Times New Roman" w:hAnsi="Times New Roman" w:cs="Times New Roman"/>
                <w:sz w:val="22"/>
                <w:szCs w:val="22"/>
              </w:rPr>
              <w:t>Основні інтелектуальні та політичні фактори розвитку ґендерного підходу у соціальних науках.</w:t>
            </w:r>
          </w:p>
          <w:p w:rsidR="00A60094" w:rsidRPr="005A3D2D" w:rsidRDefault="00A60094" w:rsidP="00A60094">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sz w:val="28"/>
                <w:szCs w:val="28"/>
              </w:rPr>
              <w:t>Змістовий модуль 2.</w:t>
            </w:r>
            <w:r w:rsidR="00A60094">
              <w:rPr>
                <w:rFonts w:ascii="Times New Roman" w:hAnsi="Times New Roman"/>
                <w:b/>
                <w:bCs w:val="0"/>
                <w:sz w:val="28"/>
                <w:szCs w:val="28"/>
              </w:rPr>
              <w:t xml:space="preserve"> </w:t>
            </w:r>
          </w:p>
          <w:p w:rsidR="005A3D2D" w:rsidRPr="005A3D2D" w:rsidRDefault="005A3D2D" w:rsidP="005A3D2D">
            <w:pPr>
              <w:tabs>
                <w:tab w:val="left" w:pos="284"/>
                <w:tab w:val="left" w:pos="567"/>
              </w:tabs>
              <w:jc w:val="center"/>
              <w:rPr>
                <w:rFonts w:ascii="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094" w:rsidRPr="004F18D7" w:rsidRDefault="00A60094" w:rsidP="00A60094">
            <w:pPr>
              <w:tabs>
                <w:tab w:val="left" w:pos="318"/>
              </w:tabs>
              <w:spacing w:line="276" w:lineRule="auto"/>
              <w:rPr>
                <w:rFonts w:ascii="Times New Roman" w:hAnsi="Times New Roman" w:cs="Times New Roman"/>
                <w:sz w:val="22"/>
                <w:szCs w:val="22"/>
              </w:rPr>
            </w:pPr>
            <w:r>
              <w:rPr>
                <w:rFonts w:ascii="Times New Roman" w:hAnsi="Times New Roman"/>
                <w:bCs w:val="0"/>
              </w:rPr>
              <w:t>Тема 3.</w:t>
            </w:r>
            <w:r w:rsidRPr="004F18D7">
              <w:rPr>
                <w:rFonts w:ascii="Times New Roman" w:hAnsi="Times New Roman" w:cs="Times New Roman"/>
                <w:sz w:val="22"/>
                <w:szCs w:val="22"/>
              </w:rPr>
              <w:t xml:space="preserve"> Ґендерна нерівність як передумова соціальної роботи.</w:t>
            </w: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094" w:rsidRPr="004F18D7" w:rsidRDefault="005A3D2D" w:rsidP="00A60094">
            <w:pPr>
              <w:tabs>
                <w:tab w:val="left" w:pos="176"/>
              </w:tabs>
              <w:spacing w:line="276" w:lineRule="auto"/>
              <w:ind w:left="176"/>
              <w:rPr>
                <w:rFonts w:ascii="Times New Roman" w:hAnsi="Times New Roman" w:cs="Times New Roman"/>
                <w:sz w:val="22"/>
                <w:szCs w:val="22"/>
              </w:rPr>
            </w:pPr>
            <w:r w:rsidRPr="005A3D2D">
              <w:rPr>
                <w:rFonts w:ascii="Times New Roman" w:hAnsi="Times New Roman"/>
                <w:bCs w:val="0"/>
                <w:sz w:val="28"/>
                <w:szCs w:val="28"/>
              </w:rPr>
              <w:t xml:space="preserve">Тема 4. </w:t>
            </w:r>
            <w:r w:rsidR="00A60094" w:rsidRPr="004F18D7">
              <w:rPr>
                <w:rFonts w:ascii="Times New Roman" w:hAnsi="Times New Roman" w:cs="Times New Roman"/>
                <w:sz w:val="22"/>
                <w:szCs w:val="22"/>
              </w:rPr>
              <w:t>Жінка як клієнт соціальної служби.</w:t>
            </w:r>
          </w:p>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094" w:rsidRPr="004F18D7" w:rsidRDefault="005A3D2D" w:rsidP="00A60094">
            <w:pPr>
              <w:tabs>
                <w:tab w:val="left" w:pos="318"/>
              </w:tabs>
              <w:spacing w:line="276" w:lineRule="auto"/>
              <w:rPr>
                <w:rFonts w:ascii="Times New Roman" w:hAnsi="Times New Roman" w:cs="Times New Roman"/>
                <w:sz w:val="22"/>
                <w:szCs w:val="22"/>
              </w:rPr>
            </w:pPr>
            <w:r w:rsidRPr="005A3D2D">
              <w:rPr>
                <w:rFonts w:ascii="Times New Roman" w:hAnsi="Times New Roman"/>
                <w:bCs w:val="0"/>
                <w:sz w:val="28"/>
                <w:szCs w:val="28"/>
              </w:rPr>
              <w:t>Тема 5.</w:t>
            </w:r>
            <w:r w:rsidR="00A60094" w:rsidRPr="004F18D7">
              <w:rPr>
                <w:rFonts w:ascii="Times New Roman" w:hAnsi="Times New Roman" w:cs="Times New Roman"/>
                <w:spacing w:val="-6"/>
                <w:sz w:val="22"/>
                <w:szCs w:val="22"/>
              </w:rPr>
              <w:t xml:space="preserve"> Чоловік як клієнт соціальної служби.</w:t>
            </w:r>
          </w:p>
          <w:p w:rsidR="005A3D2D" w:rsidRPr="005A3D2D" w:rsidRDefault="005A3D2D" w:rsidP="00A60094">
            <w:pPr>
              <w:tabs>
                <w:tab w:val="left" w:pos="284"/>
                <w:tab w:val="left" w:pos="567"/>
              </w:tabs>
              <w:jc w:val="center"/>
              <w:rPr>
                <w:rFonts w:ascii="Times New Roman" w:hAnsi="Times New Roman"/>
                <w:bCs w:val="0"/>
              </w:rPr>
            </w:pPr>
            <w:r w:rsidRPr="005A3D2D">
              <w:rPr>
                <w:rFonts w:ascii="Times New Roman" w:hAnsi="Times New Roman"/>
                <w:bCs w:val="0"/>
                <w:sz w:val="28"/>
                <w:szCs w:val="28"/>
              </w:rPr>
              <w:t xml:space="preserve"> </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Разом за змістовим </w:t>
            </w:r>
            <w:r w:rsidRPr="005A3D2D">
              <w:rPr>
                <w:rFonts w:ascii="Times New Roman" w:hAnsi="Times New Roman"/>
                <w:sz w:val="28"/>
                <w:szCs w:val="28"/>
              </w:rPr>
              <w:lastRenderedPageBreak/>
              <w:t>модулем 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42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36</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lastRenderedPageBreak/>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58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70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2</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ІНДЗ</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ІНДЗ: завдання, співбесіда</w:t>
            </w: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bl>
    <w:p w:rsidR="001C5289" w:rsidRPr="005877E9" w:rsidRDefault="001C5289" w:rsidP="005A3D2D">
      <w:pPr>
        <w:tabs>
          <w:tab w:val="left" w:pos="284"/>
          <w:tab w:val="left" w:pos="567"/>
        </w:tabs>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МЕТОДИ НАВЧАННЯ</w:t>
      </w:r>
    </w:p>
    <w:p w:rsidR="001C5289" w:rsidRPr="005877E9" w:rsidRDefault="001C5289" w:rsidP="001C5289">
      <w:pPr>
        <w:rPr>
          <w:rFonts w:ascii="Times New Roman" w:hAnsi="Times New Roman" w:cs="Times New Roman"/>
          <w:i/>
          <w:color w:val="auto"/>
        </w:rPr>
      </w:pPr>
      <w:bookmarkStart w:id="1"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1"/>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 xml:space="preserve">дослідження різноманітних питань з тематики дисципліни у вигляді есе </w:t>
      </w:r>
      <w:r w:rsidRPr="005877E9">
        <w:rPr>
          <w:rFonts w:ascii="Times New Roman" w:hAnsi="Times New Roman" w:cs="Times New Roman"/>
          <w:color w:val="auto"/>
          <w:sz w:val="28"/>
          <w:szCs w:val="28"/>
        </w:rPr>
        <w:lastRenderedPageBreak/>
        <w:t>(</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A53811" w:rsidRPr="00BA2337" w:rsidRDefault="00A53811" w:rsidP="00A53811">
      <w:pPr>
        <w:pStyle w:val="a8"/>
        <w:ind w:left="0"/>
        <w:jc w:val="center"/>
        <w:rPr>
          <w:b/>
          <w:sz w:val="28"/>
          <w:szCs w:val="28"/>
        </w:rPr>
      </w:pPr>
      <w:r w:rsidRPr="00BA2337">
        <w:rPr>
          <w:b/>
          <w:sz w:val="28"/>
          <w:szCs w:val="28"/>
        </w:rPr>
        <w:t>Індивідуальні завдання</w:t>
      </w:r>
      <w:r>
        <w:rPr>
          <w:b/>
          <w:sz w:val="28"/>
          <w:szCs w:val="28"/>
        </w:rPr>
        <w:t xml:space="preserve"> (10 год.)</w:t>
      </w:r>
    </w:p>
    <w:p w:rsidR="00A53811" w:rsidRPr="00BA2337" w:rsidRDefault="00A53811" w:rsidP="00A53811">
      <w:pPr>
        <w:tabs>
          <w:tab w:val="left" w:pos="2030"/>
          <w:tab w:val="left" w:pos="10065"/>
        </w:tabs>
        <w:jc w:val="center"/>
        <w:rPr>
          <w:rFonts w:ascii="Times New Roman" w:hAnsi="Times New Roman" w:cs="Times New Roman"/>
          <w:b/>
          <w:sz w:val="16"/>
          <w:szCs w:val="16"/>
        </w:rPr>
      </w:pP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color w:val="auto"/>
          <w:sz w:val="28"/>
          <w:szCs w:val="28"/>
          <w:lang w:eastAsia="ru-RU"/>
        </w:rPr>
      </w:pPr>
      <w:bookmarkStart w:id="2" w:name="_GoBack"/>
      <w:bookmarkEnd w:id="2"/>
      <w:r w:rsidRPr="00136979">
        <w:rPr>
          <w:rFonts w:ascii="Times New Roman" w:eastAsia="Times New Roman" w:hAnsi="Times New Roman" w:cs="Times New Roman"/>
          <w:bCs w:val="0"/>
          <w:color w:val="auto"/>
          <w:sz w:val="28"/>
          <w:szCs w:val="28"/>
          <w:lang w:eastAsia="ru-RU"/>
        </w:rPr>
        <w:t>Основні інтелектуальні та політичні фактори розвитку ґендерного підходу у соціальних науках</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color w:val="auto"/>
          <w:sz w:val="28"/>
          <w:szCs w:val="28"/>
          <w:lang w:eastAsia="ru-RU"/>
        </w:rPr>
      </w:pPr>
      <w:r w:rsidRPr="00136979">
        <w:rPr>
          <w:rFonts w:ascii="Times New Roman" w:eastAsia="Times New Roman" w:hAnsi="Times New Roman" w:cs="Times New Roman"/>
          <w:bCs w:val="0"/>
          <w:color w:val="auto"/>
          <w:sz w:val="28"/>
          <w:szCs w:val="28"/>
          <w:lang w:eastAsia="ru-RU"/>
        </w:rPr>
        <w:t>Поняття та категорії ґендерного підходу</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sz w:val="28"/>
          <w:szCs w:val="28"/>
          <w:lang w:eastAsia="ru-RU"/>
        </w:rPr>
      </w:pPr>
      <w:r w:rsidRPr="00136979">
        <w:rPr>
          <w:rFonts w:ascii="Times New Roman" w:eastAsia="Times New Roman" w:hAnsi="Times New Roman" w:cs="Times New Roman"/>
          <w:bCs w:val="0"/>
          <w:sz w:val="28"/>
          <w:szCs w:val="28"/>
          <w:lang w:eastAsia="ru-RU"/>
        </w:rPr>
        <w:t>Ґендерна нерівність як категорія ґендерного підходу у соціальних науках: теоретичні підходи</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sz w:val="28"/>
          <w:szCs w:val="28"/>
          <w:lang w:eastAsia="ru-RU"/>
        </w:rPr>
      </w:pPr>
      <w:r w:rsidRPr="00136979">
        <w:rPr>
          <w:rFonts w:ascii="Times New Roman" w:eastAsia="Times New Roman" w:hAnsi="Times New Roman" w:cs="Times New Roman"/>
          <w:bCs w:val="0"/>
          <w:sz w:val="28"/>
          <w:szCs w:val="28"/>
          <w:lang w:eastAsia="ru-RU"/>
        </w:rPr>
        <w:t>Ґендерна нерівність у соціально-економічній сфері сучасного українського суспільства</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sz w:val="28"/>
          <w:szCs w:val="28"/>
          <w:lang w:eastAsia="ru-RU"/>
        </w:rPr>
      </w:pPr>
      <w:r w:rsidRPr="00136979">
        <w:rPr>
          <w:rFonts w:ascii="Times New Roman" w:eastAsia="Times New Roman" w:hAnsi="Times New Roman" w:cs="Times New Roman"/>
          <w:bCs w:val="0"/>
          <w:sz w:val="28"/>
          <w:szCs w:val="28"/>
          <w:lang w:eastAsia="ru-RU"/>
        </w:rPr>
        <w:t>Ґендерна нерівність в освіті</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sz w:val="28"/>
          <w:szCs w:val="28"/>
          <w:lang w:eastAsia="ru-RU"/>
        </w:rPr>
      </w:pPr>
      <w:r w:rsidRPr="00136979">
        <w:rPr>
          <w:rFonts w:ascii="Times New Roman" w:eastAsia="Times New Roman" w:hAnsi="Times New Roman" w:cs="Times New Roman"/>
          <w:bCs w:val="0"/>
          <w:sz w:val="28"/>
          <w:szCs w:val="28"/>
          <w:lang w:eastAsia="ru-RU"/>
        </w:rPr>
        <w:t>Ґендерна нерівність в українській  сім’ї</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sz w:val="28"/>
          <w:szCs w:val="28"/>
          <w:lang w:eastAsia="ru-RU"/>
        </w:rPr>
      </w:pPr>
      <w:r w:rsidRPr="00136979">
        <w:rPr>
          <w:rFonts w:ascii="Times New Roman" w:eastAsia="Times New Roman" w:hAnsi="Times New Roman" w:cs="Times New Roman"/>
          <w:bCs w:val="0"/>
          <w:sz w:val="28"/>
          <w:szCs w:val="28"/>
          <w:lang w:eastAsia="ru-RU"/>
        </w:rPr>
        <w:t>Соціальна робота з жінками, потерпілими від насильства</w:t>
      </w:r>
    </w:p>
    <w:p w:rsidR="00136979" w:rsidRPr="00136979" w:rsidRDefault="00136979" w:rsidP="00136979">
      <w:pPr>
        <w:numPr>
          <w:ilvl w:val="0"/>
          <w:numId w:val="30"/>
        </w:numPr>
        <w:spacing w:line="360" w:lineRule="auto"/>
        <w:jc w:val="both"/>
        <w:rPr>
          <w:rFonts w:ascii="Times New Roman" w:eastAsia="Times New Roman" w:hAnsi="Times New Roman" w:cs="Times New Roman"/>
          <w:bCs w:val="0"/>
          <w:i/>
          <w:sz w:val="28"/>
          <w:szCs w:val="28"/>
          <w:lang w:eastAsia="ru-RU"/>
        </w:rPr>
      </w:pPr>
      <w:r w:rsidRPr="00136979">
        <w:rPr>
          <w:rFonts w:ascii="Times New Roman" w:eastAsia="Times New Roman" w:hAnsi="Times New Roman" w:cs="Times New Roman"/>
          <w:sz w:val="28"/>
          <w:szCs w:val="28"/>
          <w:lang w:eastAsia="ru-RU"/>
        </w:rPr>
        <w:t>Соціальна робота по попередженню торгівлі жінками та наданню допомоги потерпілим</w:t>
      </w:r>
    </w:p>
    <w:p w:rsidR="00136979" w:rsidRPr="00136979" w:rsidRDefault="00136979" w:rsidP="00136979">
      <w:pPr>
        <w:numPr>
          <w:ilvl w:val="0"/>
          <w:numId w:val="30"/>
        </w:numPr>
        <w:shd w:val="clear" w:color="auto" w:fill="FFFFFF"/>
        <w:spacing w:line="360" w:lineRule="auto"/>
        <w:ind w:right="14"/>
        <w:jc w:val="both"/>
        <w:rPr>
          <w:rFonts w:ascii="Times New Roman" w:eastAsia="Times New Roman" w:hAnsi="Times New Roman" w:cs="Times New Roman"/>
          <w:bCs w:val="0"/>
          <w:spacing w:val="-6"/>
          <w:sz w:val="28"/>
          <w:szCs w:val="28"/>
          <w:lang w:eastAsia="ru-RU"/>
        </w:rPr>
      </w:pPr>
      <w:r w:rsidRPr="00136979">
        <w:rPr>
          <w:rFonts w:ascii="Times New Roman" w:eastAsia="Times New Roman" w:hAnsi="Times New Roman" w:cs="Times New Roman"/>
          <w:bCs w:val="0"/>
          <w:spacing w:val="-6"/>
          <w:sz w:val="28"/>
          <w:szCs w:val="28"/>
          <w:lang w:eastAsia="ru-RU"/>
        </w:rPr>
        <w:t>Чоловічі дослідження та теорії маскулінності.</w:t>
      </w:r>
    </w:p>
    <w:p w:rsidR="00136979" w:rsidRPr="00136979" w:rsidRDefault="00136979" w:rsidP="00136979">
      <w:pPr>
        <w:numPr>
          <w:ilvl w:val="0"/>
          <w:numId w:val="30"/>
        </w:numPr>
        <w:shd w:val="clear" w:color="auto" w:fill="FFFFFF"/>
        <w:spacing w:line="360" w:lineRule="auto"/>
        <w:ind w:right="14"/>
        <w:jc w:val="both"/>
        <w:rPr>
          <w:rFonts w:ascii="Times New Roman" w:eastAsia="Times New Roman" w:hAnsi="Times New Roman" w:cs="Times New Roman"/>
          <w:bCs w:val="0"/>
          <w:spacing w:val="-6"/>
          <w:sz w:val="28"/>
          <w:szCs w:val="28"/>
          <w:lang w:eastAsia="ru-RU"/>
        </w:rPr>
      </w:pPr>
      <w:r w:rsidRPr="00136979">
        <w:rPr>
          <w:rFonts w:ascii="Times New Roman" w:eastAsia="Times New Roman" w:hAnsi="Times New Roman" w:cs="Times New Roman"/>
          <w:bCs w:val="0"/>
          <w:spacing w:val="-6"/>
          <w:sz w:val="28"/>
          <w:szCs w:val="28"/>
          <w:lang w:eastAsia="ru-RU"/>
        </w:rPr>
        <w:t xml:space="preserve"> Сучасні </w:t>
      </w:r>
      <w:r w:rsidRPr="00136979">
        <w:rPr>
          <w:rFonts w:ascii="Times New Roman" w:eastAsia="Times New Roman" w:hAnsi="Times New Roman" w:cs="Times New Roman"/>
          <w:bCs w:val="0"/>
          <w:sz w:val="28"/>
          <w:szCs w:val="28"/>
          <w:lang w:eastAsia="ru-RU"/>
        </w:rPr>
        <w:t>ґ</w:t>
      </w:r>
      <w:r w:rsidRPr="00136979">
        <w:rPr>
          <w:rFonts w:ascii="Times New Roman" w:eastAsia="Times New Roman" w:hAnsi="Times New Roman" w:cs="Times New Roman"/>
          <w:bCs w:val="0"/>
          <w:spacing w:val="-6"/>
          <w:sz w:val="28"/>
          <w:szCs w:val="28"/>
          <w:lang w:eastAsia="ru-RU"/>
        </w:rPr>
        <w:t>ендерні ролі чоловіків</w:t>
      </w:r>
    </w:p>
    <w:p w:rsidR="00136979" w:rsidRPr="00136979" w:rsidRDefault="00136979" w:rsidP="00136979">
      <w:pPr>
        <w:numPr>
          <w:ilvl w:val="0"/>
          <w:numId w:val="30"/>
        </w:numPr>
        <w:shd w:val="clear" w:color="auto" w:fill="FFFFFF"/>
        <w:spacing w:line="360" w:lineRule="auto"/>
        <w:ind w:right="14"/>
        <w:jc w:val="both"/>
        <w:rPr>
          <w:rFonts w:ascii="Times New Roman" w:eastAsia="Times New Roman" w:hAnsi="Times New Roman" w:cs="Times New Roman"/>
          <w:bCs w:val="0"/>
          <w:spacing w:val="-6"/>
          <w:sz w:val="28"/>
          <w:szCs w:val="28"/>
          <w:lang w:eastAsia="ru-RU"/>
        </w:rPr>
      </w:pPr>
      <w:r w:rsidRPr="00136979">
        <w:rPr>
          <w:rFonts w:ascii="Times New Roman" w:eastAsia="Times New Roman" w:hAnsi="Times New Roman" w:cs="Times New Roman"/>
          <w:bCs w:val="0"/>
          <w:spacing w:val="-6"/>
          <w:sz w:val="28"/>
          <w:szCs w:val="28"/>
          <w:lang w:eastAsia="ru-RU"/>
        </w:rPr>
        <w:t>Бáтьківство як соціальна роль сучасного чоловіка: проблеми реалізації</w:t>
      </w:r>
    </w:p>
    <w:p w:rsidR="00136979" w:rsidRPr="00136979" w:rsidRDefault="00136979" w:rsidP="00136979">
      <w:pPr>
        <w:numPr>
          <w:ilvl w:val="0"/>
          <w:numId w:val="30"/>
        </w:numPr>
        <w:spacing w:line="360" w:lineRule="auto"/>
        <w:jc w:val="both"/>
        <w:rPr>
          <w:rFonts w:ascii="Times New Roman" w:eastAsia="Times New Roman" w:hAnsi="Times New Roman" w:cs="Times New Roman"/>
          <w:sz w:val="28"/>
          <w:szCs w:val="28"/>
          <w:lang w:eastAsia="ru-RU"/>
        </w:rPr>
      </w:pPr>
      <w:r w:rsidRPr="00136979">
        <w:rPr>
          <w:rFonts w:ascii="Times New Roman" w:eastAsia="Times New Roman" w:hAnsi="Times New Roman" w:cs="Times New Roman"/>
          <w:bCs w:val="0"/>
          <w:spacing w:val="-3"/>
          <w:sz w:val="28"/>
          <w:szCs w:val="28"/>
          <w:lang w:eastAsia="ru-RU"/>
        </w:rPr>
        <w:t>Соціальна робота з неповною бáтьківською сім’єю</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A53811" w:rsidRPr="00BA2337" w:rsidRDefault="00A53811" w:rsidP="00A53811">
      <w:pPr>
        <w:pStyle w:val="1"/>
        <w:spacing w:before="0" w:after="240"/>
        <w:jc w:val="center"/>
        <w:rPr>
          <w:rFonts w:ascii="Times New Roman" w:hAnsi="Times New Roman"/>
          <w:sz w:val="28"/>
          <w:szCs w:val="28"/>
        </w:rPr>
      </w:pPr>
      <w:r w:rsidRPr="00BA2337">
        <w:rPr>
          <w:rFonts w:ascii="Times New Roman" w:hAnsi="Times New Roman"/>
          <w:sz w:val="28"/>
          <w:szCs w:val="28"/>
        </w:rPr>
        <w:t>МЕТОДИ НАВЧАННЯ</w:t>
      </w:r>
    </w:p>
    <w:p w:rsidR="00A53811" w:rsidRPr="00BA2337" w:rsidRDefault="00A53811" w:rsidP="00A53811">
      <w:pPr>
        <w:spacing w:line="276" w:lineRule="auto"/>
        <w:jc w:val="center"/>
        <w:rPr>
          <w:rFonts w:ascii="Times New Roman" w:hAnsi="Times New Roman" w:cs="Times New Roman"/>
          <w:sz w:val="28"/>
          <w:szCs w:val="28"/>
        </w:rPr>
      </w:pPr>
      <w:r w:rsidRPr="00BA2337">
        <w:rPr>
          <w:rFonts w:ascii="Times New Roman" w:hAnsi="Times New Roman" w:cs="Times New Roman"/>
          <w:b/>
          <w:bCs w:val="0"/>
          <w:sz w:val="28"/>
          <w:szCs w:val="28"/>
        </w:rPr>
        <w:t>5.1. Методи організації та здійснення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
          <w:bCs w:val="0"/>
          <w:i/>
          <w:sz w:val="28"/>
          <w:szCs w:val="28"/>
        </w:rPr>
      </w:pPr>
      <w:r w:rsidRPr="00BA2337">
        <w:rPr>
          <w:rFonts w:ascii="Times New Roman" w:hAnsi="Times New Roman" w:cs="Times New Roman"/>
          <w:b/>
          <w:bCs w:val="0"/>
          <w:i/>
          <w:sz w:val="28"/>
          <w:szCs w:val="28"/>
        </w:rPr>
        <w:t xml:space="preserve">1. За джерелом інформації: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словесні:</w:t>
      </w:r>
      <w:r w:rsidRPr="00BA2337">
        <w:rPr>
          <w:sz w:val="28"/>
          <w:szCs w:val="28"/>
        </w:rPr>
        <w:t xml:space="preserve">лекція </w:t>
      </w:r>
      <w:r w:rsidRPr="00BA2337">
        <w:rPr>
          <w:bCs w:val="0"/>
          <w:sz w:val="28"/>
          <w:szCs w:val="28"/>
        </w:rPr>
        <w:t xml:space="preserve">(традиційна, </w:t>
      </w:r>
      <w:r>
        <w:rPr>
          <w:sz w:val="28"/>
          <w:szCs w:val="28"/>
        </w:rPr>
        <w:t>проблемна, лекція вдвох</w:t>
      </w:r>
      <w:r w:rsidRPr="00BA2337">
        <w:rPr>
          <w:sz w:val="28"/>
          <w:szCs w:val="28"/>
        </w:rPr>
        <w:t xml:space="preserve">) із застосуванням комп'ютерних інформаційних технологій (презентація PowerPoint), семінари, пояснення, розповідь, бесіда;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наочні:</w:t>
      </w:r>
      <w:r w:rsidRPr="00BA2337">
        <w:rPr>
          <w:sz w:val="28"/>
          <w:szCs w:val="28"/>
        </w:rPr>
        <w:t xml:space="preserve">спостереження, ілюстрація, демонстрація;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bCs w:val="0"/>
          <w:sz w:val="28"/>
          <w:szCs w:val="28"/>
        </w:rPr>
      </w:pPr>
      <w:r w:rsidRPr="00BA2337">
        <w:rPr>
          <w:bCs w:val="0"/>
          <w:i/>
          <w:sz w:val="28"/>
          <w:szCs w:val="28"/>
        </w:rPr>
        <w:lastRenderedPageBreak/>
        <w:t>практичні</w:t>
      </w:r>
      <w:r w:rsidRPr="00BA2337">
        <w:rPr>
          <w:i/>
          <w:sz w:val="28"/>
          <w:szCs w:val="28"/>
        </w:rPr>
        <w:t>:</w:t>
      </w:r>
      <w:r>
        <w:rPr>
          <w:bCs w:val="0"/>
          <w:sz w:val="28"/>
          <w:szCs w:val="28"/>
        </w:rPr>
        <w:t>завдання, тестування</w:t>
      </w:r>
      <w:r w:rsidRPr="00BA2337">
        <w:rPr>
          <w:bCs w:val="0"/>
          <w:sz w:val="28"/>
          <w:szCs w:val="28"/>
        </w:rPr>
        <w:t>.</w:t>
      </w:r>
    </w:p>
    <w:p w:rsidR="00A53811" w:rsidRPr="00BA2337" w:rsidRDefault="00A53811" w:rsidP="00A53811">
      <w:pPr>
        <w:tabs>
          <w:tab w:val="left" w:pos="284"/>
        </w:tabs>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 xml:space="preserve">2. За логікою передачі і сприйняття навчальної інформації: </w:t>
      </w:r>
      <w:r w:rsidRPr="00BA2337">
        <w:rPr>
          <w:rFonts w:ascii="Times New Roman" w:hAnsi="Times New Roman" w:cs="Times New Roman"/>
          <w:bCs w:val="0"/>
          <w:sz w:val="28"/>
          <w:szCs w:val="28"/>
        </w:rPr>
        <w:t>індуктивні, дедуктивні, аналітичні, синтетичні.</w:t>
      </w:r>
    </w:p>
    <w:p w:rsidR="00A53811" w:rsidRPr="00BA2337" w:rsidRDefault="00A53811" w:rsidP="00A53811">
      <w:pPr>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3. За ступенем самостійності мислення:</w:t>
      </w:r>
      <w:r w:rsidRPr="00BA2337">
        <w:rPr>
          <w:rFonts w:ascii="Times New Roman" w:hAnsi="Times New Roman" w:cs="Times New Roman"/>
          <w:bCs w:val="0"/>
          <w:sz w:val="28"/>
          <w:szCs w:val="28"/>
        </w:rPr>
        <w:t>репродуктивні, пошукові, дослідницькі.</w:t>
      </w: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4. За ступенем керування навчальною діяльністю:</w:t>
      </w:r>
      <w:r w:rsidRPr="00BA2337">
        <w:rPr>
          <w:rFonts w:ascii="Times New Roman" w:hAnsi="Times New Roman" w:cs="Times New Roman"/>
          <w:bCs w:val="0"/>
          <w:sz w:val="28"/>
          <w:szCs w:val="28"/>
        </w:rPr>
        <w:t>під керівництвом викладача; самостійна робота студентів із книгою; виконання індивідуальних навчальних проектів.</w:t>
      </w:r>
    </w:p>
    <w:p w:rsidR="00A53811" w:rsidRDefault="00A53811" w:rsidP="00A53811">
      <w:pPr>
        <w:spacing w:line="276" w:lineRule="auto"/>
        <w:jc w:val="center"/>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5.2. Методи стимулювання інтересу до навчання і мотивації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Методи стимулювання інтересу до навчання:</w:t>
      </w:r>
      <w:r w:rsidRPr="00BA2337">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w:t>
      </w:r>
      <w:r>
        <w:rPr>
          <w:rFonts w:ascii="Times New Roman" w:hAnsi="Times New Roman" w:cs="Times New Roman"/>
          <w:bCs w:val="0"/>
          <w:sz w:val="28"/>
          <w:szCs w:val="28"/>
        </w:rPr>
        <w:t>ості; мозковий штурм; виконання завдань в парах та мікрогрупах; рецензування відповідей; тестування з пізнання власних можливостей як викладача вищої школи тощо.</w:t>
      </w:r>
    </w:p>
    <w:p w:rsidR="00A53811" w:rsidRPr="00BA2337" w:rsidRDefault="00A53811" w:rsidP="00A53811">
      <w:pPr>
        <w:spacing w:line="276" w:lineRule="auto"/>
        <w:ind w:firstLine="567"/>
        <w:jc w:val="both"/>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5.3. Інклюзивні методи навчання</w:t>
      </w:r>
    </w:p>
    <w:p w:rsidR="00A53811" w:rsidRPr="00BA2337" w:rsidRDefault="00A53811" w:rsidP="00A53811">
      <w:pPr>
        <w:jc w:val="center"/>
        <w:rPr>
          <w:rFonts w:ascii="Times New Roman" w:hAnsi="Times New Roman" w:cs="Times New Roman"/>
          <w:b/>
          <w:bCs w:val="0"/>
          <w:sz w:val="28"/>
          <w:szCs w:val="28"/>
        </w:rPr>
      </w:pP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A53811" w:rsidRPr="00D13F09" w:rsidRDefault="00A53811" w:rsidP="00A53811">
      <w:pPr>
        <w:ind w:firstLine="709"/>
        <w:jc w:val="both"/>
        <w:rPr>
          <w:rFonts w:ascii="Times New Roman" w:hAnsi="Times New Roman" w:cs="Times New Roman"/>
          <w:sz w:val="28"/>
          <w:szCs w:val="28"/>
        </w:rPr>
      </w:pPr>
      <w:r w:rsidRPr="00BA2337">
        <w:rPr>
          <w:rFonts w:ascii="Times New Roman" w:hAnsi="Times New Roman" w:cs="Times New Roman"/>
          <w:sz w:val="28"/>
          <w:szCs w:val="28"/>
        </w:rPr>
        <w:t xml:space="preserve">3. </w:t>
      </w:r>
      <w:r w:rsidRPr="00D13F09">
        <w:rPr>
          <w:rFonts w:ascii="Times New Roman" w:hAnsi="Times New Roman" w:cs="Times New Roman"/>
          <w:sz w:val="28"/>
          <w:szCs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4. Метод самовиховання: самопізнання, самооцінювання, саморегуляція.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5. Методи соціально-психологічної допомоги: психологічне консультування.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6. Спеціальні методи: супровід.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5A3D2D" w:rsidRPr="00BA2337" w:rsidRDefault="005A3D2D" w:rsidP="005A3D2D">
      <w:pPr>
        <w:pStyle w:val="1"/>
        <w:spacing w:before="0" w:after="240"/>
        <w:jc w:val="center"/>
        <w:rPr>
          <w:rFonts w:ascii="Times New Roman" w:hAnsi="Times New Roman"/>
          <w:sz w:val="28"/>
          <w:szCs w:val="28"/>
        </w:rPr>
      </w:pPr>
      <w:r w:rsidRPr="00BA2337">
        <w:rPr>
          <w:rFonts w:ascii="Times New Roman" w:hAnsi="Times New Roman"/>
          <w:sz w:val="28"/>
          <w:szCs w:val="28"/>
        </w:rPr>
        <w:t>Рекомендована література</w:t>
      </w:r>
    </w:p>
    <w:p w:rsidR="00136979" w:rsidRPr="00EC0DC6" w:rsidRDefault="00136979" w:rsidP="00136979">
      <w:pPr>
        <w:jc w:val="center"/>
        <w:rPr>
          <w:rFonts w:ascii="Times New Roman" w:hAnsi="Times New Roman" w:cs="Times New Roman"/>
          <w:b/>
          <w:sz w:val="28"/>
          <w:szCs w:val="28"/>
          <w:u w:val="single"/>
        </w:rPr>
      </w:pPr>
      <w:r w:rsidRPr="00EC0DC6">
        <w:rPr>
          <w:rFonts w:ascii="Times New Roman" w:hAnsi="Times New Roman" w:cs="Times New Roman"/>
          <w:b/>
          <w:sz w:val="28"/>
          <w:szCs w:val="28"/>
          <w:u w:val="single"/>
        </w:rPr>
        <w:t>Основна</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Басова Н. Ф. Основи соціальної роботи: навчальний посібник для вищих навчальних закладів / Н. Ф. Басов, О. Н. Бессонова. – М.: Видавничий центр «Академія», 2007. – 288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Басова Н. Ф. Соціальна робота: навчальний посібник, 2-ге видавництво / Н. Ф. Басова. – М.: Видатництво «Дашков і Ко», 2011. – 364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lastRenderedPageBreak/>
        <w:t xml:space="preserve">Берн Ш. М. Гендерная психология: секрети психології / Ш. М. Берн. – СПб.: прайм-ЕВРОЗНАК, 2001. – 320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Васянович Г. П. Основи гендерної психології: навчальний посібник / Г. П. Васянович. – К.: Педагогічна думка, 2012. – 114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Вороніна О. А. Теория и методология гендерных исследований: курс лекций / О.А. Вороніна. – М.: МЦГИ – МВШСЭН – МФФ, 2001. – 416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Гендерна політика в системі державного управління: підручник / М. М. Білинська [та ін.]; за ред. М. М. Білинської. – Запоріжжя: Друкарський світ, 2011. – 123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Гендерні медійні практики: навчальний посібник із гендерної рівності та недискримінації для студентів вищих навчальних закладів / С. В. Штурхецький [та ін.]; за ред. С. В. Штурхецького. – Київ, 2014. – 206 с.</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Гендерні стереотипи та ставлення громадськості до гендерних 84 проблем в українському суспільстві: монографія / Ю. І. Саєнко [та ін.]; за ред. Ю. І. Саєнка. – Київ: BAITE. 2007. – 143 с.</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Гендерночутливий підхід у роботі з вразливими верствами населення у соціально-правовій та освітній сферах: навчально-методичний посібник / В. В. Анголенко [та ін.]; за ред. Т. В. Отрошко. – </w:t>
      </w:r>
      <w:r>
        <w:rPr>
          <w:sz w:val="28"/>
          <w:szCs w:val="28"/>
        </w:rPr>
        <w:t>Х.: ХГПА, 2017. – 78</w:t>
      </w:r>
      <w:r w:rsidRPr="00C51C08">
        <w:rPr>
          <w:sz w:val="28"/>
          <w:szCs w:val="28"/>
        </w:rPr>
        <w:t xml:space="preserve">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Гусак Н. Б. Управління діяльністю соціальних служб: метод. посібник / Н. Б. Гусак [та ін.]; за ред. О. Іванова, Н. Б. Гусак; ПРООН в Україні, Проект «Підтримка реформи соціального сектору в Україні». – К.: К.І.С., 2013. – 178 с.</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Довідник з соціальної роботи: навчальний посібник / Л. М. Дунаєва, С. В. Гладченко [та ін.]; за ред. Л. М. Дунаєвої. – Одеса: «Одеський національний університет імені І. І. Мечникова», 2015. – 402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Енциклопедія для фахівців соціальної сфери / Алексєєнко Т. Ф. [та ін.]; за ред. І. Д. Звєрєвої. – Київ, Сімферополь: Універсум, 2012. – 536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Іванова І. Б. Методи соціальної роботи: навчальний посібник / І. Б. Іванова. – Університет «Україна», 2018. – 302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Ільїн Є. П. Пол и гендер: підручник / Є. П. Ільїн. – С. - Пб.: Питер, 2010. – 688 с. </w:t>
      </w:r>
    </w:p>
    <w:p w:rsidR="00136979" w:rsidRDefault="00136979" w:rsidP="00136979">
      <w:pPr>
        <w:pStyle w:val="a8"/>
        <w:numPr>
          <w:ilvl w:val="0"/>
          <w:numId w:val="31"/>
        </w:numPr>
        <w:spacing w:after="200" w:line="276" w:lineRule="auto"/>
        <w:jc w:val="both"/>
        <w:rPr>
          <w:sz w:val="28"/>
          <w:szCs w:val="28"/>
        </w:rPr>
      </w:pPr>
      <w:r w:rsidRPr="00C51C08">
        <w:rPr>
          <w:sz w:val="28"/>
          <w:szCs w:val="28"/>
        </w:rPr>
        <w:t xml:space="preserve">Кіммер Майкл С. Гендероване суспільство / М. Кіммер. – Київ: Сфера, 2003. – 490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Корюкалов М. Гендерна політика та інституційні механізми її реалізації в Україні: підручник / Корюкалов М. – К., 2014. – 120 с.</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lastRenderedPageBreak/>
        <w:t xml:space="preserve">Котова-Олійник С. В. Гендерна абетка для українських медіа: навчальний посібник / С. В. Котова-Олійник, Б. М. Стельмах, О. Б. Ярош. – Луцьк: Волинська мистецька агенція «Терен», 2013. – 50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Кравець В. П. Гендерні стандарти сучасної освіти: збірка рекомендацій / В. П. Кравець, Т. В. Говорун, О. М. Кікінежді. – Запоріжжя: Друкарський світ, 2011. – 282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Кравченко, А. І. Соціальна робота: підручник для ВНЗ / А. І. Кравченко. – М. : Проспект; Велбі, 2008. – 416 с. 87</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Краснова Н. П. Соціально-педагогічна та соціальна робота з різними категоріями клієнтів: навчально-методичний посібник / Н. П. Краснова, Л.П. Харченко, В.М. Пігіда, Я.І. Юрків; Держ. Закл. «Луган. нац. ун-т імені Тараса Шевченка». – Луганськ: Вид-во ДЗ «ЛНУ імені Тараса Шевченко», 2010. – 408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Лебідь І. Ю. Гендерна педагогіка: навчально-методичний посібник / І.Ю. Лебідь. – Кам’янець-Подільський: ТОВ «Друкарня «Рута», 2015. – 130 с.</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Лукашевич М. П. Соціальна робота (теорія і практика): навчальний посібник / М. П. Лукашевич, Т. В. Семигіна. – К.: ІПК ДСЗУ, 2007. – 341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Марценюк Т. О. Гендер для всіх. Виклик стереотипам: книга / Т. О. Марценюк. – К.: Видавництво «Основа», 2017. – 256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Марценюк Т. О. Гендерна рівність і недискримінація: посібник для експертів і експерток аналітичних центрів / Т. О. Марценюк. – К, 2014. – 65 с.</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Марценюк Т. О. Гендерний аналіз аналітичних центрів України: дослідження / Т. О. Марценюк, С. Голота. – К.:МФ «Відродження», 2018. – 21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Марценюк Т. О. Жінки в українській політиці: виклики і перспективи змін / Т. О. Марценюк. – Київ:Міжнародний центр перспективних досліджень, 2015. – 35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Марценюк Т. О. Інтеграція гендерної складової в аналітичні матеріали: дослідження / Т. О. Марценюк. – К.: МФ «Відродження», 2019. – 28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54. Мацко Л. А. Основи психології та педагогіки: навчальний посібник / Л. А. Мацко, М. Д. Прищак, В. Г. Годлевська. – Вінниця: 2009. – 163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Ми рівні – ми різні. Основи культури гендерної рівності: 88 навчальний посібник / Т. В. Бакка [та ін.]; за ред. Семиколєнової . 2-ге вид. – К.: «К.І.С.», 2010. – 176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lastRenderedPageBreak/>
        <w:t xml:space="preserve">Мудрик А. Б. Гендерна компетентність особистості: теорія, діагностика, розвиток: посібник / А. Б. Мудрик. – Луцьк, 2014. – 204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Плахотнік О. Гендерні теорії, гендерні практики: налагоджуючи мости. Збірник доповідей / О. Плахотнюк, Л. Гуслянова, Т. Ісаєва. – Х.: Райдер, 2008. – 100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Реалізація гендерної політики в управлінні освітою: навчальнометодичний посібник / Н. Г. Протасова [та ін.]; за ред. Н. Г. Протасової – Запоріжжя: Друкарський світ, 2011. – 176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Стайкова Т. Ю. Гендерночутливий підхід до соціальної роботи: Збірник матеріалів міжнародної науково-практичної конференції «Гендерна 89 конструкція соціуму: історія і сучасність / Т. Ю. Стайкова. – Одеса: Одеський національний університет, 2019. – С. 50 – 53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Стандарт рівності: посібник / Ю. Т. Гончар [та ін.]; за ред. С. В. Штурхецького. – Рівне: видавець О. Зень, 2015. – 200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Технології соціальної роботи: навчальний посібник / А. В. Агарков, Д. Ю. Арабаджиєв, Т. В. Єрохина, В. В. Кузьмін, І. В. Мещан, В. М. Попович. – Запоріжжя, 2015. – 487 с. </w:t>
      </w:r>
    </w:p>
    <w:p w:rsidR="00136979" w:rsidRDefault="00136979" w:rsidP="00136979">
      <w:pPr>
        <w:pStyle w:val="a8"/>
        <w:numPr>
          <w:ilvl w:val="0"/>
          <w:numId w:val="31"/>
        </w:numPr>
        <w:spacing w:after="200" w:line="276" w:lineRule="auto"/>
        <w:jc w:val="both"/>
        <w:rPr>
          <w:sz w:val="28"/>
          <w:szCs w:val="28"/>
        </w:rPr>
      </w:pPr>
      <w:r w:rsidRPr="00C51C08">
        <w:rPr>
          <w:sz w:val="28"/>
          <w:szCs w:val="28"/>
        </w:rPr>
        <w:t xml:space="preserve">Ткалич М. Г. Гендерна психологія: навчальний посібник / М. Г. Ткалич. – К.: «Академвидав», 2011. – 248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71. Тугаров А. Б. Гендерный аспект практической социальной работы: теоретико-методологический анализ. Монография / А. Б. Тугаров, У. О. Петряшкина. – Пенза: ГУМНИЦ ПГУ, 2016. – 85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Христова Г. О. Позитивні дії в механізмі забезпечення рівних прав та можливостей жінок і чоловіків: міжнародний досвід та українські перспективи / Г. О. Христова, О. О. Кочемировська. – Харків: Райдер, 2010. – 200 с. </w:t>
      </w:r>
    </w:p>
    <w:p w:rsidR="00136979" w:rsidRPr="00C51C08" w:rsidRDefault="00136979" w:rsidP="00136979">
      <w:pPr>
        <w:pStyle w:val="a8"/>
        <w:numPr>
          <w:ilvl w:val="0"/>
          <w:numId w:val="31"/>
        </w:numPr>
        <w:spacing w:after="200" w:line="276" w:lineRule="auto"/>
        <w:jc w:val="both"/>
        <w:rPr>
          <w:sz w:val="28"/>
          <w:szCs w:val="28"/>
        </w:rPr>
      </w:pPr>
      <w:r w:rsidRPr="00C51C08">
        <w:rPr>
          <w:sz w:val="28"/>
          <w:szCs w:val="28"/>
        </w:rPr>
        <w:t xml:space="preserve">Центр Разумкова. Гендерна рівність і розвиток: погляд у контексті 90 Європейської стратегії України / Керівник проекту Ольга Пищуліна. – К.: Заповіт, 2016. – 244 с. </w:t>
      </w:r>
    </w:p>
    <w:p w:rsidR="00136979" w:rsidRDefault="00136979" w:rsidP="00136979">
      <w:pPr>
        <w:pStyle w:val="a8"/>
        <w:numPr>
          <w:ilvl w:val="0"/>
          <w:numId w:val="31"/>
        </w:numPr>
        <w:spacing w:after="200" w:line="276" w:lineRule="auto"/>
        <w:jc w:val="both"/>
        <w:rPr>
          <w:sz w:val="28"/>
          <w:szCs w:val="28"/>
        </w:rPr>
      </w:pPr>
      <w:r w:rsidRPr="00C51C08">
        <w:rPr>
          <w:sz w:val="28"/>
          <w:szCs w:val="28"/>
        </w:rPr>
        <w:t>Щотка О. П. Гендерна психологія: навчальний посібник / О. П. Щотка. – Ніжин: Видавець ПП Лисенко М.М., 2019. – 358 с.</w:t>
      </w:r>
    </w:p>
    <w:p w:rsidR="00136979" w:rsidRDefault="00136979" w:rsidP="00136979"/>
    <w:p w:rsidR="00136979" w:rsidRDefault="00136979" w:rsidP="00136979">
      <w:pPr>
        <w:jc w:val="center"/>
        <w:rPr>
          <w:rFonts w:ascii="Times New Roman" w:hAnsi="Times New Roman" w:cs="Times New Roman"/>
          <w:b/>
          <w:sz w:val="28"/>
          <w:szCs w:val="28"/>
          <w:u w:val="single"/>
        </w:rPr>
      </w:pPr>
      <w:r w:rsidRPr="00EC0DC6">
        <w:rPr>
          <w:rFonts w:ascii="Times New Roman" w:hAnsi="Times New Roman" w:cs="Times New Roman"/>
          <w:b/>
          <w:sz w:val="28"/>
          <w:szCs w:val="28"/>
          <w:u w:val="single"/>
        </w:rPr>
        <w:t>Додаткова</w:t>
      </w:r>
    </w:p>
    <w:p w:rsidR="00136979" w:rsidRDefault="00136979" w:rsidP="00136979">
      <w:pPr>
        <w:pStyle w:val="a8"/>
        <w:numPr>
          <w:ilvl w:val="0"/>
          <w:numId w:val="32"/>
        </w:numPr>
        <w:spacing w:after="200" w:line="276" w:lineRule="auto"/>
        <w:jc w:val="both"/>
        <w:rPr>
          <w:sz w:val="28"/>
          <w:szCs w:val="28"/>
        </w:rPr>
      </w:pPr>
      <w:r w:rsidRPr="00C51C08">
        <w:rPr>
          <w:sz w:val="28"/>
          <w:szCs w:val="28"/>
        </w:rPr>
        <w:t xml:space="preserve">Віденська декларація [Електронний ресурс]. – Режим доступу: </w:t>
      </w:r>
      <w:hyperlink r:id="rId8" w:history="1">
        <w:r w:rsidRPr="00C51C08">
          <w:rPr>
            <w:rStyle w:val="a3"/>
            <w:sz w:val="28"/>
            <w:szCs w:val="28"/>
          </w:rPr>
          <w:t>https://zakon.rada.gov.ua/laws/main/995_504</w:t>
        </w:r>
      </w:hyperlink>
      <w:r w:rsidRPr="00C51C08">
        <w:rPr>
          <w:sz w:val="28"/>
          <w:szCs w:val="28"/>
        </w:rPr>
        <w:t xml:space="preserve">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Гладченко С. В. Проблеми впровадження гендерної політики в освітній галузі сучасної України: Наукові записки Тернопільського </w:t>
      </w:r>
      <w:r w:rsidRPr="00C51C08">
        <w:rPr>
          <w:sz w:val="28"/>
          <w:szCs w:val="28"/>
        </w:rPr>
        <w:lastRenderedPageBreak/>
        <w:t xml:space="preserve">національного педагогічного університету імені Володимира Гнатюка. Серія: Історія / за заг. ред. проф. І. С. Зуляка. Тернопіль: Вид-во ТНПУ ім. В. Гнатюка, 2017. Вип. 2. Ч. 3 с. 153-154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Етичний кодекс спеціалістів із соціальної роботи України [Електронний ресурс]. – Режим доступу: https://zakon.rada.gov.ua/rada/show/v 1965643-05 20. Жінки та чоловіки на керівних посадах в Україні: статистичний 85 аналіз відкритих даних ЄДРПОУ. – Київ, 2017. – 52 с.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Закон України «Про забезпечення рівних прав та можливостей жінок і чоловіків» [Електронний ресурс]. – Режим доступу: https://zakon2.rada .gov.ua /laws/show/2866-15 25. Закон України «Про соціальні послуги» [Електронний доступ]. – Режим доступу: </w:t>
      </w:r>
      <w:hyperlink r:id="rId9" w:history="1">
        <w:r w:rsidRPr="00C51C08">
          <w:rPr>
            <w:rStyle w:val="a3"/>
            <w:sz w:val="28"/>
            <w:szCs w:val="28"/>
          </w:rPr>
          <w:t>https://zakon.rada.gov.ua/laws/main/2671-19</w:t>
        </w:r>
      </w:hyperlink>
      <w:r w:rsidRPr="00C51C08">
        <w:rPr>
          <w:sz w:val="28"/>
          <w:szCs w:val="28"/>
        </w:rPr>
        <w:t xml:space="preserve">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Закон України «Про соціальну роботу з сім’ями, дітьми та молоддю» [Електронний ресурс]. – Режим доступу: https://zakon.rada.gov.ua/l aws/show/ 2558-14/ed20180120/conv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Конвенція ООН про ліквідацію всіх форм дискримінації щодо жінок [Електронний ресурс]. – Режим доступу: https://zakon.rada.gov.ua/laws /main/ 995_207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Конвенція про боротьбу з дискримінацією у галузі освіти 86 [Електронний ресурс]. – Режим доступу: </w:t>
      </w:r>
      <w:hyperlink r:id="rId10" w:history="1">
        <w:r w:rsidRPr="00C51C08">
          <w:rPr>
            <w:rStyle w:val="a3"/>
            <w:sz w:val="28"/>
            <w:szCs w:val="28"/>
          </w:rPr>
          <w:t>https://zakon.rada.gov.ua/laws/main/9 95_174</w:t>
        </w:r>
      </w:hyperlink>
      <w:r w:rsidRPr="00C51C08">
        <w:rPr>
          <w:sz w:val="28"/>
          <w:szCs w:val="28"/>
        </w:rPr>
        <w:t xml:space="preserve">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Конвенція про захист прав людини і основоположних свобод [Електронний ресурс]. – Режим доступу: </w:t>
      </w:r>
      <w:hyperlink r:id="rId11" w:history="1">
        <w:r w:rsidRPr="00C51C08">
          <w:rPr>
            <w:rStyle w:val="a3"/>
            <w:sz w:val="28"/>
            <w:szCs w:val="28"/>
          </w:rPr>
          <w:t>https://zakon.rada.gov.ua/laws/main/9 95_004</w:t>
        </w:r>
      </w:hyperlink>
      <w:r w:rsidRPr="00C51C08">
        <w:rPr>
          <w:sz w:val="28"/>
          <w:szCs w:val="28"/>
        </w:rPr>
        <w:t xml:space="preserve">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Конвенція про політичні права жінок [Електронний ресурс]. – Режим доступу: https://zakon.rada.gov.ua/laws/main/995_156 36. Конвенція про рівне винагородження чоловіків та жінок за працю рівної цінності [Електронний ресурс]. – Режим доступу: https://zakon.rada.gov .ua/laws/main/993_002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Конвенція Ради Європи «Про запобігання та протидію насильству щодо жінок і домашньому насильству та боротьбу із цими явищами: довідник для членів парламенту. – Виробництво «К.І.С.», 2013. – 108 с. </w:t>
      </w:r>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Конституція України [Електронний доступ]. – Режим доступу: </w:t>
      </w:r>
      <w:hyperlink r:id="rId12" w:history="1">
        <w:r w:rsidRPr="00C51C08">
          <w:rPr>
            <w:rStyle w:val="a3"/>
            <w:sz w:val="28"/>
            <w:szCs w:val="28"/>
          </w:rPr>
          <w:t>https://zakon.rada.gov.ua/laws/main/254%D0%BA/96-%D0%B2%D1%80</w:t>
        </w:r>
      </w:hyperlink>
    </w:p>
    <w:p w:rsidR="00136979" w:rsidRPr="00C51C08" w:rsidRDefault="00136979" w:rsidP="00136979">
      <w:pPr>
        <w:pStyle w:val="a8"/>
        <w:numPr>
          <w:ilvl w:val="0"/>
          <w:numId w:val="32"/>
        </w:numPr>
        <w:spacing w:after="200" w:line="276" w:lineRule="auto"/>
        <w:jc w:val="both"/>
        <w:rPr>
          <w:sz w:val="28"/>
          <w:szCs w:val="28"/>
        </w:rPr>
      </w:pPr>
      <w:r w:rsidRPr="00C51C08">
        <w:rPr>
          <w:sz w:val="28"/>
          <w:szCs w:val="28"/>
        </w:rPr>
        <w:t xml:space="preserve">Стайкова Т. Ю. Гендерна компетентність фахівців соціальних служб: Збірник наукових матеріалів XXXVI Міжнародної науковопрактичної </w:t>
      </w:r>
      <w:r w:rsidRPr="00C51C08">
        <w:rPr>
          <w:sz w:val="28"/>
          <w:szCs w:val="28"/>
        </w:rPr>
        <w:lastRenderedPageBreak/>
        <w:t xml:space="preserve">інтернет-конференції «Інновації науки XXI століття / Т. Ю. Стайкова. – Вінниця, 18 листопада 2019 року. – С. 55 – 58 </w:t>
      </w:r>
    </w:p>
    <w:p w:rsidR="00136979" w:rsidRPr="00EC0DC6" w:rsidRDefault="00136979" w:rsidP="00136979">
      <w:pPr>
        <w:jc w:val="center"/>
        <w:rPr>
          <w:rFonts w:ascii="Times New Roman" w:hAnsi="Times New Roman" w:cs="Times New Roman"/>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lastRenderedPageBreak/>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36979">
      <w:pP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sz w:val="28"/>
          <w:szCs w:val="28"/>
        </w:rPr>
        <w:t>(</w:t>
      </w:r>
      <w:r w:rsidRPr="005877E9">
        <w:rPr>
          <w:rFonts w:ascii="Times New Roman" w:hAnsi="Times New Roman" w:cs="Times New Roman"/>
          <w:color w:val="auto"/>
        </w:rPr>
        <w:t xml:space="preserve">прізвище таініціали)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68" w:rsidRDefault="00307368" w:rsidP="00166630">
      <w:r>
        <w:separator/>
      </w:r>
    </w:p>
  </w:endnote>
  <w:endnote w:type="continuationSeparator" w:id="1">
    <w:p w:rsidR="00307368" w:rsidRDefault="00307368"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68" w:rsidRDefault="00307368" w:rsidP="00166630">
      <w:r>
        <w:separator/>
      </w:r>
    </w:p>
  </w:footnote>
  <w:footnote w:type="continuationSeparator" w:id="1">
    <w:p w:rsidR="00307368" w:rsidRDefault="00307368"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2D" w:rsidRDefault="006978B1">
    <w:pPr>
      <w:pStyle w:val="a9"/>
      <w:jc w:val="right"/>
    </w:pPr>
    <w:r>
      <w:fldChar w:fldCharType="begin"/>
    </w:r>
    <w:r w:rsidR="005A3D2D">
      <w:instrText xml:space="preserve"> PAGE   \* MERGEFORMAT </w:instrText>
    </w:r>
    <w:r>
      <w:fldChar w:fldCharType="separate"/>
    </w:r>
    <w:r w:rsidR="005A3D2D">
      <w:rPr>
        <w:noProof/>
      </w:rPr>
      <w:t>8</w:t>
    </w:r>
    <w:r>
      <w:fldChar w:fldCharType="end"/>
    </w:r>
  </w:p>
  <w:p w:rsidR="005A3D2D" w:rsidRDefault="005A3D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2D" w:rsidRPr="00CE2902" w:rsidRDefault="006978B1">
    <w:pPr>
      <w:pStyle w:val="a9"/>
      <w:jc w:val="right"/>
      <w:rPr>
        <w:rFonts w:ascii="Times New Roman" w:hAnsi="Times New Roman" w:cs="Times New Roman"/>
      </w:rPr>
    </w:pPr>
    <w:r w:rsidRPr="00CE2902">
      <w:rPr>
        <w:rFonts w:ascii="Times New Roman" w:hAnsi="Times New Roman" w:cs="Times New Roman"/>
      </w:rPr>
      <w:fldChar w:fldCharType="begin"/>
    </w:r>
    <w:r w:rsidR="005A3D2D"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B104DF">
      <w:rPr>
        <w:rFonts w:ascii="Times New Roman" w:hAnsi="Times New Roman" w:cs="Times New Roman"/>
        <w:noProof/>
      </w:rPr>
      <w:t>5</w:t>
    </w:r>
    <w:r w:rsidRPr="00CE2902">
      <w:rPr>
        <w:rFonts w:ascii="Times New Roman" w:hAnsi="Times New Roman" w:cs="Times New Roman"/>
      </w:rPr>
      <w:fldChar w:fldCharType="end"/>
    </w:r>
  </w:p>
  <w:p w:rsidR="005A3D2D" w:rsidRDefault="005A3D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E7B45A0"/>
    <w:multiLevelType w:val="hybridMultilevel"/>
    <w:tmpl w:val="9738E0C4"/>
    <w:lvl w:ilvl="0" w:tplc="E2E037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4">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55294"/>
    <w:multiLevelType w:val="hybridMultilevel"/>
    <w:tmpl w:val="7A48B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AD61E54"/>
    <w:multiLevelType w:val="hybridMultilevel"/>
    <w:tmpl w:val="7A48B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84E92"/>
    <w:multiLevelType w:val="hybridMultilevel"/>
    <w:tmpl w:val="DA988E2C"/>
    <w:lvl w:ilvl="0" w:tplc="E2E037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5">
    <w:nsid w:val="4C3421B2"/>
    <w:multiLevelType w:val="hybridMultilevel"/>
    <w:tmpl w:val="71C4CC30"/>
    <w:lvl w:ilvl="0" w:tplc="CD549D38">
      <w:start w:val="1"/>
      <w:numFmt w:val="decimal"/>
      <w:lvlText w:val="%1."/>
      <w:lvlJc w:val="left"/>
      <w:pPr>
        <w:ind w:left="674"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5CD8"/>
    <w:multiLevelType w:val="hybridMultilevel"/>
    <w:tmpl w:val="95AA3540"/>
    <w:lvl w:ilvl="0" w:tplc="2856F3CC">
      <w:start w:val="1"/>
      <w:numFmt w:val="decimal"/>
      <w:lvlText w:val="%1."/>
      <w:lvlJc w:val="left"/>
      <w:pPr>
        <w:ind w:left="1695" w:hanging="360"/>
      </w:pPr>
      <w:rPr>
        <w:rFonts w:hint="default"/>
        <w:b w:val="0"/>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8">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7C54F12"/>
    <w:multiLevelType w:val="hybridMultilevel"/>
    <w:tmpl w:val="6C2438FC"/>
    <w:lvl w:ilvl="0" w:tplc="AEB8749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F403223"/>
    <w:multiLevelType w:val="hybridMultilevel"/>
    <w:tmpl w:val="7DCEEAE8"/>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9"/>
  </w:num>
  <w:num w:numId="2">
    <w:abstractNumId w:val="11"/>
  </w:num>
  <w:num w:numId="3">
    <w:abstractNumId w:val="18"/>
  </w:num>
  <w:num w:numId="4">
    <w:abstractNumId w:val="25"/>
  </w:num>
  <w:num w:numId="5">
    <w:abstractNumId w:val="27"/>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4"/>
  </w:num>
  <w:num w:numId="13">
    <w:abstractNumId w:val="2"/>
  </w:num>
  <w:num w:numId="14">
    <w:abstractNumId w:val="13"/>
  </w:num>
  <w:num w:numId="15">
    <w:abstractNumId w:val="8"/>
  </w:num>
  <w:num w:numId="16">
    <w:abstractNumId w:val="23"/>
  </w:num>
  <w:num w:numId="17">
    <w:abstractNumId w:val="6"/>
  </w:num>
  <w:num w:numId="18">
    <w:abstractNumId w:val="28"/>
  </w:num>
  <w:num w:numId="19">
    <w:abstractNumId w:val="21"/>
  </w:num>
  <w:num w:numId="20">
    <w:abstractNumId w:val="26"/>
  </w:num>
  <w:num w:numId="21">
    <w:abstractNumId w:val="19"/>
  </w:num>
  <w:num w:numId="22">
    <w:abstractNumId w:val="20"/>
  </w:num>
  <w:num w:numId="23">
    <w:abstractNumId w:val="30"/>
  </w:num>
  <w:num w:numId="24">
    <w:abstractNumId w:val="15"/>
  </w:num>
  <w:num w:numId="25">
    <w:abstractNumId w:val="22"/>
  </w:num>
  <w:num w:numId="26">
    <w:abstractNumId w:val="3"/>
  </w:num>
  <w:num w:numId="27">
    <w:abstractNumId w:val="1"/>
  </w:num>
  <w:num w:numId="28">
    <w:abstractNumId w:val="12"/>
  </w:num>
  <w:num w:numId="29">
    <w:abstractNumId w:val="17"/>
  </w:num>
  <w:num w:numId="30">
    <w:abstractNumId w:val="24"/>
  </w:num>
  <w:num w:numId="31">
    <w:abstractNumId w:val="7"/>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45E7D"/>
    <w:rsid w:val="00095DC3"/>
    <w:rsid w:val="000C3B1C"/>
    <w:rsid w:val="000E72D5"/>
    <w:rsid w:val="00136979"/>
    <w:rsid w:val="001412C4"/>
    <w:rsid w:val="00142CCE"/>
    <w:rsid w:val="00166630"/>
    <w:rsid w:val="001A38BE"/>
    <w:rsid w:val="001C5289"/>
    <w:rsid w:val="001D7743"/>
    <w:rsid w:val="002330DA"/>
    <w:rsid w:val="00264A5F"/>
    <w:rsid w:val="00272B00"/>
    <w:rsid w:val="00282734"/>
    <w:rsid w:val="002D0784"/>
    <w:rsid w:val="00307368"/>
    <w:rsid w:val="00316B3F"/>
    <w:rsid w:val="00333B5B"/>
    <w:rsid w:val="00341B03"/>
    <w:rsid w:val="00382995"/>
    <w:rsid w:val="00390453"/>
    <w:rsid w:val="00392776"/>
    <w:rsid w:val="003963A2"/>
    <w:rsid w:val="003A3E74"/>
    <w:rsid w:val="004700F6"/>
    <w:rsid w:val="00497A90"/>
    <w:rsid w:val="00537C21"/>
    <w:rsid w:val="00555ED9"/>
    <w:rsid w:val="00556B92"/>
    <w:rsid w:val="005877E9"/>
    <w:rsid w:val="005A3D2D"/>
    <w:rsid w:val="005A7CB8"/>
    <w:rsid w:val="005F0A15"/>
    <w:rsid w:val="00613CC8"/>
    <w:rsid w:val="00616F56"/>
    <w:rsid w:val="00677D2D"/>
    <w:rsid w:val="00685241"/>
    <w:rsid w:val="006857CA"/>
    <w:rsid w:val="00685D42"/>
    <w:rsid w:val="006978B1"/>
    <w:rsid w:val="007066BA"/>
    <w:rsid w:val="00800FCF"/>
    <w:rsid w:val="00847084"/>
    <w:rsid w:val="00857818"/>
    <w:rsid w:val="00895C36"/>
    <w:rsid w:val="008A7C54"/>
    <w:rsid w:val="009161C7"/>
    <w:rsid w:val="009404BF"/>
    <w:rsid w:val="00943ACF"/>
    <w:rsid w:val="00956CC2"/>
    <w:rsid w:val="00970E55"/>
    <w:rsid w:val="009817BE"/>
    <w:rsid w:val="00994C9C"/>
    <w:rsid w:val="00996792"/>
    <w:rsid w:val="009E72EE"/>
    <w:rsid w:val="009E7EAB"/>
    <w:rsid w:val="00A23BF8"/>
    <w:rsid w:val="00A53811"/>
    <w:rsid w:val="00A60094"/>
    <w:rsid w:val="00B104DF"/>
    <w:rsid w:val="00B42F2E"/>
    <w:rsid w:val="00C117E8"/>
    <w:rsid w:val="00C60E71"/>
    <w:rsid w:val="00CB3EFA"/>
    <w:rsid w:val="00CB66A9"/>
    <w:rsid w:val="00CC099A"/>
    <w:rsid w:val="00CD175A"/>
    <w:rsid w:val="00CD78B4"/>
    <w:rsid w:val="00CE47EE"/>
    <w:rsid w:val="00D2416D"/>
    <w:rsid w:val="00D33253"/>
    <w:rsid w:val="00D42597"/>
    <w:rsid w:val="00D667D5"/>
    <w:rsid w:val="00E06CC2"/>
    <w:rsid w:val="00EF709C"/>
    <w:rsid w:val="00F154EE"/>
    <w:rsid w:val="00F61A31"/>
    <w:rsid w:val="00FA1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uiPriority w:val="99"/>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uiPriority w:val="99"/>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main/995_5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s://zakon.rada.gov.ua/laws/main/254%D0%BA/96-%D0%B2%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main/9%2095_0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main/9%2095_174" TargetMode="External"/><Relationship Id="rId4" Type="http://schemas.openxmlformats.org/officeDocument/2006/relationships/webSettings" Target="webSettings.xml"/><Relationship Id="rId9" Type="http://schemas.openxmlformats.org/officeDocument/2006/relationships/hyperlink" Target="https://zakon.rada.gov.ua/laws/main/2671-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19</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user53</cp:lastModifiedBy>
  <cp:revision>21</cp:revision>
  <dcterms:created xsi:type="dcterms:W3CDTF">2020-11-06T18:26:00Z</dcterms:created>
  <dcterms:modified xsi:type="dcterms:W3CDTF">2022-06-01T17:55:00Z</dcterms:modified>
</cp:coreProperties>
</file>