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7A" w:rsidRPr="00EF020F" w:rsidRDefault="00C9460A" w:rsidP="005B7D70">
      <w:pPr>
        <w:jc w:val="center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==================================================================</w:t>
      </w:r>
    </w:p>
    <w:p w:rsidR="009E567A" w:rsidRPr="00EF020F" w:rsidRDefault="009E567A" w:rsidP="005B7D70">
      <w:pPr>
        <w:jc w:val="center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ПОРЯДОК</w:t>
      </w:r>
    </w:p>
    <w:p w:rsidR="009E567A" w:rsidRPr="00EF020F" w:rsidRDefault="009E567A" w:rsidP="005B7D70">
      <w:pPr>
        <w:jc w:val="center"/>
        <w:rPr>
          <w:i/>
          <w:sz w:val="28"/>
          <w:szCs w:val="28"/>
          <w:lang w:val="uk-UA"/>
        </w:rPr>
      </w:pPr>
      <w:r w:rsidRPr="00EF020F">
        <w:rPr>
          <w:i/>
          <w:sz w:val="28"/>
          <w:szCs w:val="28"/>
          <w:lang w:val="uk-UA"/>
        </w:rPr>
        <w:t>вибору питань для письмового опитування</w:t>
      </w:r>
      <w:r w:rsidR="00924C13" w:rsidRPr="00EF020F">
        <w:rPr>
          <w:i/>
          <w:sz w:val="28"/>
          <w:szCs w:val="28"/>
          <w:lang w:val="uk-UA"/>
        </w:rPr>
        <w:t xml:space="preserve"> (ПО)</w:t>
      </w:r>
      <w:r w:rsidRPr="00EF020F">
        <w:rPr>
          <w:i/>
          <w:sz w:val="28"/>
          <w:szCs w:val="28"/>
          <w:lang w:val="uk-UA"/>
        </w:rPr>
        <w:t xml:space="preserve"> за темою практичного (семінару)</w:t>
      </w:r>
    </w:p>
    <w:p w:rsidR="009E567A" w:rsidRPr="00EF020F" w:rsidRDefault="009E567A" w:rsidP="005B7D70">
      <w:pPr>
        <w:jc w:val="center"/>
        <w:rPr>
          <w:sz w:val="28"/>
          <w:szCs w:val="28"/>
          <w:lang w:val="uk-UA"/>
        </w:rPr>
      </w:pPr>
    </w:p>
    <w:p w:rsidR="009E567A" w:rsidRPr="00EF020F" w:rsidRDefault="009E567A" w:rsidP="007B607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Для виконання ПО студент потрібно аргументовано письмово відповісти на 2 питання за темою. Одне питання: рукопис — 1,5 ст</w:t>
      </w:r>
      <w:r w:rsidR="00924C13" w:rsidRPr="00EF020F">
        <w:rPr>
          <w:sz w:val="28"/>
          <w:szCs w:val="28"/>
          <w:lang w:val="uk-UA"/>
        </w:rPr>
        <w:t>о</w:t>
      </w:r>
      <w:r w:rsidRPr="00EF020F">
        <w:rPr>
          <w:sz w:val="28"/>
          <w:szCs w:val="28"/>
          <w:lang w:val="uk-UA"/>
        </w:rPr>
        <w:t>р; комп’ютерний набір</w:t>
      </w:r>
      <w:r w:rsidR="00924C13" w:rsidRPr="00EF020F">
        <w:rPr>
          <w:sz w:val="28"/>
          <w:szCs w:val="28"/>
          <w:lang w:val="uk-UA"/>
        </w:rPr>
        <w:t xml:space="preserve"> (</w:t>
      </w:r>
      <w:proofErr w:type="spellStart"/>
      <w:r w:rsidR="00924C13" w:rsidRPr="00EF020F">
        <w:rPr>
          <w:sz w:val="28"/>
          <w:szCs w:val="28"/>
          <w:lang w:val="uk-UA"/>
        </w:rPr>
        <w:t>Times</w:t>
      </w:r>
      <w:proofErr w:type="spellEnd"/>
      <w:r w:rsidR="00924C13" w:rsidRPr="00EF020F">
        <w:rPr>
          <w:sz w:val="28"/>
          <w:szCs w:val="28"/>
          <w:lang w:val="uk-UA"/>
        </w:rPr>
        <w:t xml:space="preserve"> </w:t>
      </w:r>
      <w:proofErr w:type="spellStart"/>
      <w:r w:rsidR="00924C13" w:rsidRPr="00EF020F">
        <w:rPr>
          <w:sz w:val="28"/>
          <w:szCs w:val="28"/>
          <w:lang w:val="uk-UA"/>
        </w:rPr>
        <w:t>New</w:t>
      </w:r>
      <w:proofErr w:type="spellEnd"/>
      <w:r w:rsidR="00924C13" w:rsidRPr="00EF020F">
        <w:rPr>
          <w:sz w:val="28"/>
          <w:szCs w:val="28"/>
          <w:lang w:val="uk-UA"/>
        </w:rPr>
        <w:t xml:space="preserve"> </w:t>
      </w:r>
      <w:proofErr w:type="spellStart"/>
      <w:r w:rsidR="00924C13" w:rsidRPr="00EF020F">
        <w:rPr>
          <w:sz w:val="28"/>
          <w:szCs w:val="28"/>
          <w:lang w:val="uk-UA"/>
        </w:rPr>
        <w:t>Roman</w:t>
      </w:r>
      <w:proofErr w:type="spellEnd"/>
      <w:r w:rsidR="00924C13" w:rsidRPr="00EF020F">
        <w:rPr>
          <w:sz w:val="28"/>
          <w:szCs w:val="28"/>
          <w:lang w:val="uk-UA"/>
        </w:rPr>
        <w:t xml:space="preserve"> 14)</w:t>
      </w:r>
      <w:r w:rsidRPr="00EF020F">
        <w:rPr>
          <w:sz w:val="28"/>
          <w:szCs w:val="28"/>
          <w:lang w:val="uk-UA"/>
        </w:rPr>
        <w:t xml:space="preserve"> —2,5 ст</w:t>
      </w:r>
      <w:r w:rsidR="00924C13" w:rsidRPr="00EF020F">
        <w:rPr>
          <w:sz w:val="28"/>
          <w:szCs w:val="28"/>
          <w:lang w:val="uk-UA"/>
        </w:rPr>
        <w:t>о</w:t>
      </w:r>
      <w:r w:rsidRPr="00EF020F">
        <w:rPr>
          <w:sz w:val="28"/>
          <w:szCs w:val="28"/>
          <w:lang w:val="uk-UA"/>
        </w:rPr>
        <w:t>р.</w:t>
      </w:r>
    </w:p>
    <w:p w:rsidR="009E567A" w:rsidRPr="00EF020F" w:rsidRDefault="009E567A" w:rsidP="007B6079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Конкретні питання вибираються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</w:t>
      </w:r>
      <w:r w:rsidR="00C9460A" w:rsidRPr="00EF020F">
        <w:rPr>
          <w:sz w:val="28"/>
          <w:szCs w:val="28"/>
          <w:lang w:val="uk-UA"/>
        </w:rPr>
        <w:t xml:space="preserve"> (та округляється до цілого)</w:t>
      </w:r>
      <w:r w:rsidRPr="00EF020F">
        <w:rPr>
          <w:sz w:val="28"/>
          <w:szCs w:val="28"/>
          <w:lang w:val="uk-UA"/>
        </w:rPr>
        <w:t xml:space="preserve"> та додається число «3».</w:t>
      </w:r>
    </w:p>
    <w:p w:rsidR="009E567A" w:rsidRPr="00EF020F" w:rsidRDefault="009E567A" w:rsidP="007B6079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 xml:space="preserve">Оформлення ПО здійснюється за загальними правилами оформлення письмових робіт (приклад — у </w:t>
      </w:r>
      <w:proofErr w:type="spellStart"/>
      <w:r w:rsidRPr="00EF020F">
        <w:rPr>
          <w:sz w:val="28"/>
          <w:szCs w:val="28"/>
          <w:lang w:val="uk-UA"/>
        </w:rPr>
        <w:t>Moodl</w:t>
      </w:r>
      <w:r w:rsidRPr="00EF020F">
        <w:rPr>
          <w:b/>
          <w:i/>
          <w:sz w:val="28"/>
          <w:szCs w:val="28"/>
          <w:lang w:val="uk-UA"/>
        </w:rPr>
        <w:t>і</w:t>
      </w:r>
      <w:proofErr w:type="spellEnd"/>
      <w:r w:rsidRPr="00EF020F">
        <w:rPr>
          <w:sz w:val="28"/>
          <w:szCs w:val="28"/>
          <w:lang w:val="uk-UA"/>
        </w:rPr>
        <w:t>).</w:t>
      </w:r>
    </w:p>
    <w:p w:rsidR="009E567A" w:rsidRPr="00EF020F" w:rsidRDefault="009E567A" w:rsidP="007B6079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 xml:space="preserve">Оформлена робота прикріпляється до відповідного розділу </w:t>
      </w:r>
      <w:proofErr w:type="spellStart"/>
      <w:r w:rsidRPr="00EF020F">
        <w:rPr>
          <w:sz w:val="28"/>
          <w:szCs w:val="28"/>
          <w:lang w:val="uk-UA"/>
        </w:rPr>
        <w:t>Moodl</w:t>
      </w:r>
      <w:r w:rsidRPr="00EF020F">
        <w:rPr>
          <w:b/>
          <w:i/>
          <w:sz w:val="28"/>
          <w:szCs w:val="28"/>
          <w:lang w:val="uk-UA"/>
        </w:rPr>
        <w:t>а</w:t>
      </w:r>
      <w:proofErr w:type="spellEnd"/>
      <w:r w:rsidRPr="00EF020F">
        <w:rPr>
          <w:sz w:val="28"/>
          <w:szCs w:val="28"/>
          <w:lang w:val="uk-UA"/>
        </w:rPr>
        <w:t xml:space="preserve">;70 % оцінки </w:t>
      </w:r>
      <w:proofErr w:type="spellStart"/>
      <w:r w:rsidR="00C9460A" w:rsidRPr="00EF020F">
        <w:rPr>
          <w:sz w:val="28"/>
          <w:szCs w:val="28"/>
          <w:lang w:val="uk-UA"/>
        </w:rPr>
        <w:t>=</w:t>
      </w:r>
      <w:r w:rsidRPr="00EF020F">
        <w:rPr>
          <w:sz w:val="28"/>
          <w:szCs w:val="28"/>
          <w:lang w:val="uk-UA"/>
        </w:rPr>
        <w:t>правила</w:t>
      </w:r>
      <w:proofErr w:type="spellEnd"/>
      <w:r w:rsidRPr="00EF020F">
        <w:rPr>
          <w:sz w:val="28"/>
          <w:szCs w:val="28"/>
          <w:lang w:val="uk-UA"/>
        </w:rPr>
        <w:t xml:space="preserve"> оформлення, </w:t>
      </w:r>
    </w:p>
    <w:p w:rsidR="009E567A" w:rsidRPr="00EF020F" w:rsidRDefault="00951DD9" w:rsidP="005B7D70">
      <w:pPr>
        <w:jc w:val="center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=========================</w:t>
      </w:r>
      <w:r w:rsidR="009E567A" w:rsidRPr="00EF020F">
        <w:rPr>
          <w:sz w:val="28"/>
          <w:szCs w:val="28"/>
          <w:lang w:val="uk-UA"/>
        </w:rPr>
        <w:t>==========================================</w:t>
      </w:r>
    </w:p>
    <w:p w:rsidR="00EF020F" w:rsidRPr="00EF020F" w:rsidRDefault="0013346C" w:rsidP="00EF020F">
      <w:pPr>
        <w:jc w:val="center"/>
        <w:rPr>
          <w:b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</w:t>
      </w:r>
      <w:r w:rsidR="00951DD9" w:rsidRPr="00EF020F">
        <w:rPr>
          <w:b/>
          <w:caps/>
          <w:sz w:val="28"/>
          <w:szCs w:val="28"/>
          <w:lang w:val="uk-UA"/>
        </w:rPr>
        <w:t>-1_</w:t>
      </w:r>
      <w:r w:rsidR="00E35727" w:rsidRPr="00EF020F">
        <w:rPr>
          <w:b/>
          <w:sz w:val="28"/>
          <w:szCs w:val="28"/>
          <w:lang w:val="uk-UA"/>
        </w:rPr>
        <w:t xml:space="preserve">Фінанси </w:t>
      </w:r>
      <w:r w:rsidRPr="00EF020F">
        <w:rPr>
          <w:b/>
          <w:sz w:val="28"/>
          <w:szCs w:val="28"/>
          <w:lang w:val="uk-UA"/>
        </w:rPr>
        <w:t xml:space="preserve">та фінансова діяльність держави </w:t>
      </w:r>
    </w:p>
    <w:p w:rsidR="00B71B94" w:rsidRPr="00EF020F" w:rsidRDefault="0013346C" w:rsidP="00EF020F">
      <w:pPr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й органів місцевого самоврядування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sz w:val="28"/>
          <w:szCs w:val="28"/>
          <w:lang w:val="uk-UA"/>
        </w:rPr>
        <w:t>Поняття фінансів та функції фінансів.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sz w:val="28"/>
          <w:szCs w:val="28"/>
          <w:lang w:val="uk-UA"/>
        </w:rPr>
        <w:t>Характеристика публічних та приватних фінансів.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Фінансова система та її елементи.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Економічний фінансовий інститут.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Фінансова діяльність, її стадії.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Предмет фінансового права.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Централізовані та децентралізовані фонди коштів.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Об’єкт фінансової діяльності.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Принципи фінансової діяльності.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Метод фінансової діяльності.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Методи використання фондів коштів.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Методи</w:t>
      </w:r>
      <w:r w:rsidRPr="00EF020F">
        <w:rPr>
          <w:i/>
          <w:sz w:val="28"/>
          <w:szCs w:val="28"/>
          <w:lang w:val="uk-UA"/>
        </w:rPr>
        <w:t xml:space="preserve"> </w:t>
      </w:r>
      <w:r w:rsidRPr="00EF020F">
        <w:rPr>
          <w:sz w:val="28"/>
          <w:szCs w:val="28"/>
          <w:lang w:val="uk-UA"/>
        </w:rPr>
        <w:t>розподілу</w:t>
      </w:r>
      <w:r w:rsidRPr="00EF020F">
        <w:rPr>
          <w:i/>
          <w:sz w:val="28"/>
          <w:szCs w:val="28"/>
          <w:lang w:val="uk-UA"/>
        </w:rPr>
        <w:t xml:space="preserve"> </w:t>
      </w:r>
      <w:r w:rsidRPr="00EF020F">
        <w:rPr>
          <w:sz w:val="28"/>
          <w:szCs w:val="28"/>
          <w:lang w:val="uk-UA"/>
        </w:rPr>
        <w:t>фондів</w:t>
      </w:r>
      <w:r w:rsidRPr="00EF020F">
        <w:rPr>
          <w:i/>
          <w:sz w:val="28"/>
          <w:szCs w:val="28"/>
          <w:lang w:val="uk-UA"/>
        </w:rPr>
        <w:t xml:space="preserve"> </w:t>
      </w:r>
      <w:r w:rsidRPr="00EF020F">
        <w:rPr>
          <w:sz w:val="28"/>
          <w:szCs w:val="28"/>
          <w:lang w:val="uk-UA"/>
        </w:rPr>
        <w:t>коштів</w:t>
      </w:r>
      <w:r w:rsidRPr="00EF020F">
        <w:rPr>
          <w:i/>
          <w:sz w:val="28"/>
          <w:szCs w:val="28"/>
          <w:lang w:val="uk-UA"/>
        </w:rPr>
        <w:t>.</w:t>
      </w:r>
    </w:p>
    <w:p w:rsidR="00951DD9" w:rsidRPr="00EF020F" w:rsidRDefault="00951DD9" w:rsidP="007B6079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Класифікація фінансово-правових акти.</w:t>
      </w:r>
    </w:p>
    <w:p w:rsidR="00E40DD8" w:rsidRPr="00EF020F" w:rsidRDefault="00951DD9" w:rsidP="007B6079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EF020F">
        <w:rPr>
          <w:bCs/>
          <w:sz w:val="28"/>
          <w:szCs w:val="28"/>
          <w:lang w:val="uk-UA"/>
        </w:rPr>
        <w:t>Органи, які здійснюють фінансову діяльності.</w:t>
      </w:r>
      <w:r w:rsidR="00ED4053" w:rsidRPr="00EF020F">
        <w:rPr>
          <w:sz w:val="28"/>
          <w:szCs w:val="28"/>
          <w:lang w:val="uk-UA"/>
        </w:rPr>
        <w:t>.</w:t>
      </w:r>
    </w:p>
    <w:p w:rsidR="00B71B94" w:rsidRPr="00EF020F" w:rsidRDefault="00B71B94" w:rsidP="005B7D70">
      <w:pPr>
        <w:ind w:left="142" w:firstLine="142"/>
        <w:jc w:val="center"/>
        <w:rPr>
          <w:caps/>
          <w:sz w:val="28"/>
          <w:szCs w:val="28"/>
          <w:u w:val="single"/>
          <w:lang w:val="uk-UA"/>
        </w:rPr>
      </w:pPr>
    </w:p>
    <w:p w:rsidR="00B71B94" w:rsidRPr="00EF020F" w:rsidRDefault="00523A23" w:rsidP="00EF020F">
      <w:pPr>
        <w:pStyle w:val="a6"/>
        <w:ind w:right="360"/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т-2_</w:t>
      </w:r>
      <w:r w:rsidR="009E2544" w:rsidRPr="00EF020F">
        <w:rPr>
          <w:b/>
          <w:sz w:val="28"/>
          <w:szCs w:val="28"/>
          <w:lang w:val="uk-UA"/>
        </w:rPr>
        <w:t>Фінансове право — як галузь права</w:t>
      </w:r>
      <w:r w:rsidR="0013346C" w:rsidRPr="00EF020F">
        <w:rPr>
          <w:b/>
          <w:caps/>
          <w:sz w:val="28"/>
          <w:szCs w:val="28"/>
          <w:lang w:val="uk-UA"/>
        </w:rPr>
        <w:t>_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Фінансове право — галузь публічного права. Предмет і метод фінансового права.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Фінансове право — складова частина системи права. Фінансове та адміністративне право; фінансове та цивільне право.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Система фінансового права та її структурні елементи. Структура фінансового права.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Загальна частина фінансового права. Особлива частина та джерела фінансового права.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Класифікація джерел фінансового права.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Фінансово-правові норми за способом впливу на учасників фінансових відносин.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Фінансово-правові норми за юридичним змістом.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Структура ФПН. Поняття фінансової санкції.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proofErr w:type="spellStart"/>
      <w:r w:rsidRPr="00EF020F">
        <w:rPr>
          <w:szCs w:val="28"/>
          <w:lang w:val="uk-UA"/>
        </w:rPr>
        <w:t>Фінансовоправові</w:t>
      </w:r>
      <w:proofErr w:type="spellEnd"/>
      <w:r w:rsidRPr="00EF020F">
        <w:rPr>
          <w:szCs w:val="28"/>
          <w:lang w:val="uk-UA"/>
        </w:rPr>
        <w:t xml:space="preserve"> відносини: єдність форми і змісту.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Предмет регулювання фінансового права.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Підгалузі фінансового права.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Матеріальний і юридичний зміст фінансових правовідносин.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Об’єкт і суб’єкти фінансових правовідносин.</w:t>
      </w:r>
    </w:p>
    <w:p w:rsidR="009E2544" w:rsidRPr="00EF020F" w:rsidRDefault="009E2544" w:rsidP="007B6079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Юридичний факт і фінансові правовідносини. Поділ </w:t>
      </w:r>
      <w:proofErr w:type="spellStart"/>
      <w:r w:rsidRPr="00EF020F">
        <w:rPr>
          <w:szCs w:val="28"/>
          <w:lang w:val="uk-UA"/>
        </w:rPr>
        <w:t>юрфактів</w:t>
      </w:r>
      <w:proofErr w:type="spellEnd"/>
      <w:r w:rsidRPr="00EF020F">
        <w:rPr>
          <w:szCs w:val="28"/>
          <w:lang w:val="uk-UA"/>
        </w:rPr>
        <w:t>.</w:t>
      </w:r>
    </w:p>
    <w:p w:rsidR="00FC548E" w:rsidRPr="00EF020F" w:rsidRDefault="009E2544" w:rsidP="007B6079">
      <w:pPr>
        <w:pStyle w:val="1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EF020F">
        <w:rPr>
          <w:b w:val="0"/>
          <w:sz w:val="28"/>
          <w:szCs w:val="28"/>
          <w:lang w:val="uk-UA"/>
        </w:rPr>
        <w:t>Суб’єкти фінансового права і суб’єкти фінансових правовідносин. Правосуб’єктність</w:t>
      </w:r>
      <w:r w:rsidR="00FC548E" w:rsidRPr="00EF020F">
        <w:rPr>
          <w:b w:val="0"/>
          <w:color w:val="000000"/>
          <w:sz w:val="28"/>
          <w:szCs w:val="28"/>
          <w:lang w:val="uk-UA"/>
        </w:rPr>
        <w:t>.</w:t>
      </w:r>
    </w:p>
    <w:p w:rsidR="00D82904" w:rsidRPr="00EF020F" w:rsidRDefault="00D82904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B71B94" w:rsidRPr="00EF020F" w:rsidRDefault="00523A23" w:rsidP="00EF020F">
      <w:pPr>
        <w:tabs>
          <w:tab w:val="left" w:pos="4653"/>
        </w:tabs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т-3_</w:t>
      </w:r>
      <w:r w:rsidR="0013346C" w:rsidRPr="00EF020F">
        <w:rPr>
          <w:b/>
          <w:sz w:val="28"/>
          <w:szCs w:val="28"/>
          <w:lang w:val="uk-UA"/>
        </w:rPr>
        <w:t>Правові основи фінансового контролю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Поняття і основні принципи фінансового контролю</w:t>
      </w:r>
      <w:r w:rsidRPr="00EF020F">
        <w:rPr>
          <w:iCs/>
          <w:sz w:val="28"/>
          <w:szCs w:val="28"/>
          <w:lang w:val="uk-UA"/>
        </w:rPr>
        <w:t>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 xml:space="preserve">Завдання і функції </w:t>
      </w:r>
      <w:r w:rsidRPr="00EF020F">
        <w:rPr>
          <w:sz w:val="28"/>
          <w:szCs w:val="28"/>
          <w:lang w:val="uk-UA"/>
        </w:rPr>
        <w:t>фінансового контролю</w:t>
      </w:r>
      <w:r w:rsidRPr="00EF020F">
        <w:rPr>
          <w:iCs/>
          <w:sz w:val="28"/>
          <w:szCs w:val="28"/>
          <w:lang w:val="uk-UA"/>
        </w:rPr>
        <w:t>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iCs/>
          <w:sz w:val="28"/>
          <w:szCs w:val="28"/>
          <w:lang w:val="uk-UA"/>
        </w:rPr>
        <w:t>Об’єкт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iCs/>
          <w:sz w:val="28"/>
          <w:szCs w:val="28"/>
          <w:lang w:val="uk-UA"/>
        </w:rPr>
        <w:t>Види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iCs/>
          <w:sz w:val="28"/>
          <w:szCs w:val="28"/>
          <w:lang w:val="uk-UA"/>
        </w:rPr>
        <w:t>Методи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Ревізія. Класифікація.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Суб’єкти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Організація</w:t>
      </w:r>
      <w:r w:rsidRPr="00EF020F">
        <w:rPr>
          <w:sz w:val="28"/>
          <w:szCs w:val="28"/>
          <w:lang w:val="uk-UA"/>
        </w:rPr>
        <w:t xml:space="preserve">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Повноваження ДП(Ф)СУ при здійснення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Повноваження ДКРУ при здійснення фінансового контролю.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НБУ, ДКЦПФР і фінансовий контроль.</w:t>
      </w:r>
    </w:p>
    <w:p w:rsidR="009E2544" w:rsidRPr="00EF020F" w:rsidRDefault="009E2544" w:rsidP="007B6079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 xml:space="preserve">Поняття </w:t>
      </w:r>
      <w:proofErr w:type="spellStart"/>
      <w:r w:rsidRPr="00EF020F">
        <w:rPr>
          <w:iCs/>
          <w:sz w:val="28"/>
          <w:szCs w:val="28"/>
          <w:lang w:val="uk-UA"/>
        </w:rPr>
        <w:t>адмінвідповідальності</w:t>
      </w:r>
      <w:proofErr w:type="spellEnd"/>
      <w:r w:rsidRPr="00EF020F">
        <w:rPr>
          <w:iCs/>
          <w:sz w:val="28"/>
          <w:szCs w:val="28"/>
          <w:lang w:val="uk-UA"/>
        </w:rPr>
        <w:t xml:space="preserve"> з фінансових питань. Джерела.</w:t>
      </w:r>
    </w:p>
    <w:p w:rsidR="00B71B94" w:rsidRPr="00EF020F" w:rsidRDefault="009E2544" w:rsidP="007B6079">
      <w:pPr>
        <w:numPr>
          <w:ilvl w:val="0"/>
          <w:numId w:val="4"/>
        </w:numPr>
        <w:ind w:left="567"/>
        <w:rPr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 xml:space="preserve">Виявлення  правопорушень та </w:t>
      </w:r>
      <w:proofErr w:type="spellStart"/>
      <w:r w:rsidRPr="00EF020F">
        <w:rPr>
          <w:iCs/>
          <w:sz w:val="28"/>
          <w:szCs w:val="28"/>
          <w:lang w:val="uk-UA"/>
        </w:rPr>
        <w:t>адмінвідповідальності</w:t>
      </w:r>
      <w:proofErr w:type="spellEnd"/>
      <w:r w:rsidRPr="00EF020F">
        <w:rPr>
          <w:iCs/>
          <w:sz w:val="28"/>
          <w:szCs w:val="28"/>
          <w:lang w:val="uk-UA"/>
        </w:rPr>
        <w:t xml:space="preserve"> з фінансових питань</w:t>
      </w:r>
      <w:r w:rsidR="00FC548E" w:rsidRPr="00EF020F">
        <w:rPr>
          <w:sz w:val="28"/>
          <w:szCs w:val="28"/>
          <w:lang w:val="uk-UA"/>
        </w:rPr>
        <w:t>.</w:t>
      </w:r>
      <w:r w:rsidR="00B71B94" w:rsidRPr="00EF020F">
        <w:rPr>
          <w:sz w:val="28"/>
          <w:szCs w:val="28"/>
          <w:lang w:val="uk-UA"/>
        </w:rPr>
        <w:t xml:space="preserve"> </w:t>
      </w:r>
    </w:p>
    <w:p w:rsidR="00B71B94" w:rsidRPr="00EF020F" w:rsidRDefault="00B71B94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B71B94" w:rsidRPr="00EF020F" w:rsidRDefault="00523A23" w:rsidP="005B7D70">
      <w:pPr>
        <w:tabs>
          <w:tab w:val="left" w:pos="4653"/>
        </w:tabs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т-4_</w:t>
      </w:r>
      <w:bookmarkStart w:id="0" w:name="_GoBack"/>
      <w:r w:rsidR="0013346C" w:rsidRPr="00EF020F">
        <w:rPr>
          <w:b/>
          <w:sz w:val="28"/>
          <w:szCs w:val="28"/>
          <w:lang w:val="uk-UA"/>
        </w:rPr>
        <w:t>Бюджетна система України. Бюджетне право</w:t>
      </w:r>
      <w:bookmarkEnd w:id="0"/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Поняття і значення бюджету (організаційне, економічне і правове). 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Бюджетний період. Джерело формування бюджету.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Історія бюджету України.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політика.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Поняття бюджетного права. Склад бюджетних відносин. Бюджетно-правові норми (БПН).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Особливості бюджетних відносин.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Класифікація БПН.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Бюджетне законодавство України.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Загальні засади формування бюджетної системи України. Бюджетна резолюція.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Бюджетний устрій України. Бюджетна система України.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побудови бюджетної системи.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Бюджетна класифікація: доходи та видатки бюджету. 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класифікація: фінансування бюджету.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Бюджетна класифікація: </w:t>
      </w:r>
      <w:proofErr w:type="spellStart"/>
      <w:r w:rsidRPr="00EF020F">
        <w:rPr>
          <w:szCs w:val="28"/>
          <w:lang w:val="uk-UA"/>
        </w:rPr>
        <w:t>класифікація</w:t>
      </w:r>
      <w:proofErr w:type="spellEnd"/>
      <w:r w:rsidRPr="00EF020F">
        <w:rPr>
          <w:szCs w:val="28"/>
          <w:lang w:val="uk-UA"/>
        </w:rPr>
        <w:t xml:space="preserve"> боргу.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Складові бюджету: загальний фонд та спеціальний фонд. 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Частини бюджету: бюджетна класифікація доходів.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Частини бюджету: бюджетна класифікація видатків.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Дефіцит і профіцит бюджету. Міжбюджетні відносини.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Бюджетне право як підгалузь фінансового права. Предмет фінансового права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Система бюджетного права. Структурні елементи бюджетного права.</w:t>
      </w:r>
    </w:p>
    <w:p w:rsidR="00260A34" w:rsidRPr="00EF020F" w:rsidRDefault="00260A34" w:rsidP="007B6079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Інститути бюджетного права. Бюджетно-правова норма. Класифікація бюджетно-правових норм.</w:t>
      </w:r>
    </w:p>
    <w:p w:rsidR="00B71B94" w:rsidRPr="00EF020F" w:rsidRDefault="00260A34" w:rsidP="007B6079">
      <w:pPr>
        <w:numPr>
          <w:ilvl w:val="0"/>
          <w:numId w:val="1"/>
        </w:numPr>
        <w:ind w:left="567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lastRenderedPageBreak/>
        <w:t>Бюджетним правовідносини. Бюджетний кодекс України. Бюджетне законодавство</w:t>
      </w:r>
      <w:r w:rsidR="00FC548E" w:rsidRPr="00EF020F">
        <w:rPr>
          <w:sz w:val="28"/>
          <w:szCs w:val="28"/>
          <w:lang w:val="uk-UA"/>
        </w:rPr>
        <w:t>.</w:t>
      </w:r>
    </w:p>
    <w:p w:rsidR="006E43CA" w:rsidRPr="00EF020F" w:rsidRDefault="006E43CA" w:rsidP="005B7D7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т-5_</w:t>
      </w:r>
      <w:r w:rsidR="0013346C" w:rsidRPr="00EF020F">
        <w:rPr>
          <w:b/>
          <w:sz w:val="28"/>
          <w:szCs w:val="28"/>
          <w:lang w:val="uk-UA"/>
        </w:rPr>
        <w:t xml:space="preserve"> </w:t>
      </w:r>
      <w:r w:rsidR="009E2544" w:rsidRPr="00EF020F">
        <w:rPr>
          <w:b/>
          <w:sz w:val="28"/>
          <w:szCs w:val="28"/>
          <w:lang w:val="uk-UA"/>
        </w:rPr>
        <w:t>Бюджетний процес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система України. Державний бюджет. Принцип збалансованості.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Структура бюджетної системи України</w:t>
      </w:r>
      <w:r w:rsidRPr="00EF020F">
        <w:rPr>
          <w:bCs/>
          <w:szCs w:val="28"/>
          <w:lang w:val="uk-UA"/>
        </w:rPr>
        <w:t xml:space="preserve">. </w:t>
      </w:r>
      <w:r w:rsidRPr="00EF020F">
        <w:rPr>
          <w:szCs w:val="28"/>
          <w:lang w:val="uk-UA"/>
        </w:rPr>
        <w:t>Дотація вирівнювання та субвенції.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Місцевий бюджет. Бюджети місцевого самоврядування. принцип єдності бюджетної системи України.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Зведений бюджет України. Міжбюджетні трансферти.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бюджетної системи. Неподаткові надходження бюджету.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Бюджетне правопорушення. Принцип </w:t>
      </w:r>
      <w:proofErr w:type="spellStart"/>
      <w:r w:rsidRPr="00EF020F">
        <w:rPr>
          <w:szCs w:val="28"/>
          <w:lang w:val="uk-UA"/>
        </w:rPr>
        <w:t>відповідаль-ності</w:t>
      </w:r>
      <w:proofErr w:type="spellEnd"/>
      <w:r w:rsidRPr="00EF020F">
        <w:rPr>
          <w:szCs w:val="28"/>
          <w:lang w:val="uk-UA"/>
        </w:rPr>
        <w:t xml:space="preserve"> учасників бюджетного процесу.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Вертикальний розподіл доходів і видатків бюджету.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Загальний фонд бюджету. Розподіл видатків між бюджетами.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Розподіл бюджету на загальний та спеціальний фонди. Резервний фонд бюджету.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Поняття бюджетного процесу та його стадії.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Розпорядники бюджетних коштів.</w:t>
      </w:r>
    </w:p>
    <w:p w:rsidR="00260A34" w:rsidRPr="00EF020F" w:rsidRDefault="00260A34" w:rsidP="007B6079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Вертикальні та горизонтальні б</w:t>
      </w:r>
      <w:r w:rsidRPr="00EF020F">
        <w:rPr>
          <w:szCs w:val="28"/>
          <w:lang w:val="uk-UA"/>
        </w:rPr>
        <w:t>юджетні права.</w:t>
      </w:r>
    </w:p>
    <w:p w:rsidR="006E43CA" w:rsidRPr="00EF020F" w:rsidRDefault="00260A34" w:rsidP="007B6079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EF020F">
        <w:rPr>
          <w:b w:val="0"/>
          <w:sz w:val="28"/>
          <w:szCs w:val="28"/>
          <w:lang w:val="uk-UA"/>
        </w:rPr>
        <w:t xml:space="preserve">Бюджетні повноваження </w:t>
      </w:r>
      <w:r w:rsidRPr="00EF020F">
        <w:rPr>
          <w:b w:val="0"/>
          <w:bCs w:val="0"/>
          <w:iCs/>
          <w:sz w:val="28"/>
          <w:szCs w:val="28"/>
          <w:lang w:val="uk-UA"/>
        </w:rPr>
        <w:t xml:space="preserve">органів місцевого </w:t>
      </w:r>
      <w:proofErr w:type="spellStart"/>
      <w:r w:rsidRPr="00EF020F">
        <w:rPr>
          <w:b w:val="0"/>
          <w:bCs w:val="0"/>
          <w:iCs/>
          <w:sz w:val="28"/>
          <w:szCs w:val="28"/>
          <w:lang w:val="uk-UA"/>
        </w:rPr>
        <w:t>самовря-днування</w:t>
      </w:r>
      <w:proofErr w:type="spellEnd"/>
      <w:r w:rsidR="006E43CA" w:rsidRPr="00EF020F">
        <w:rPr>
          <w:b w:val="0"/>
          <w:sz w:val="28"/>
          <w:szCs w:val="28"/>
          <w:lang w:val="uk-UA"/>
        </w:rPr>
        <w:t>.</w:t>
      </w:r>
    </w:p>
    <w:p w:rsidR="00523A23" w:rsidRPr="00EF020F" w:rsidRDefault="00523A23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6E43CA" w:rsidRPr="00EF020F" w:rsidRDefault="006E43CA" w:rsidP="005B7D7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т-6_</w:t>
      </w:r>
      <w:r w:rsidR="009E2544" w:rsidRPr="00EF020F">
        <w:rPr>
          <w:b/>
          <w:sz w:val="28"/>
          <w:szCs w:val="28"/>
          <w:lang w:val="uk-UA"/>
        </w:rPr>
        <w:t xml:space="preserve">Правові основи оподаткування в </w:t>
      </w:r>
      <w:proofErr w:type="spellStart"/>
      <w:r w:rsidR="009E2544" w:rsidRPr="00EF020F">
        <w:rPr>
          <w:b/>
          <w:sz w:val="28"/>
          <w:szCs w:val="28"/>
          <w:lang w:val="uk-UA"/>
        </w:rPr>
        <w:t>україні</w:t>
      </w:r>
      <w:proofErr w:type="spellEnd"/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Предмет податкового права.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Метод податкового права.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proofErr w:type="spellStart"/>
      <w:r w:rsidRPr="00EF020F">
        <w:rPr>
          <w:szCs w:val="28"/>
          <w:lang w:val="uk-UA"/>
        </w:rPr>
        <w:t>Пояняття</w:t>
      </w:r>
      <w:proofErr w:type="spellEnd"/>
      <w:r w:rsidRPr="00EF020F">
        <w:rPr>
          <w:szCs w:val="28"/>
          <w:lang w:val="uk-UA"/>
        </w:rPr>
        <w:t xml:space="preserve"> фіскальної політики держави.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Види фіскальної політики держави та їх </w:t>
      </w:r>
      <w:proofErr w:type="spellStart"/>
      <w:r w:rsidRPr="00EF020F">
        <w:rPr>
          <w:szCs w:val="28"/>
          <w:lang w:val="uk-UA"/>
        </w:rPr>
        <w:t>змість</w:t>
      </w:r>
      <w:proofErr w:type="spellEnd"/>
      <w:r w:rsidRPr="00EF020F">
        <w:rPr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Система податкового права.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Загальна частина податкового права.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Особлива частина податкового права.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Податкове право — в системі права України. Податкове право як складова частина фінансового права.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Джерела податкового права. Класифікація. Податкове законодавство.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податкового законодавства.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Податкові правовідносини, їх класифікація.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Об’єкт та склад податкових правовідносин.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Суб’єкт податкових правовідносин.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Зміст податкових правовідносин.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Податково-правові норми. </w:t>
      </w:r>
      <w:r w:rsidRPr="00EF020F">
        <w:rPr>
          <w:szCs w:val="28"/>
          <w:lang w:val="uk-UA"/>
        </w:rPr>
        <w:t>Класифікація податково-правових норм.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Структура податкової норми.</w:t>
      </w:r>
    </w:p>
    <w:p w:rsidR="00EE42DB" w:rsidRPr="00EF020F" w:rsidRDefault="00EE42DB" w:rsidP="007B6079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Суб’єкт податкових правовідносин.</w:t>
      </w:r>
    </w:p>
    <w:p w:rsidR="006E43CA" w:rsidRPr="00EF020F" w:rsidRDefault="00EE42DB" w:rsidP="007B6079">
      <w:pPr>
        <w:numPr>
          <w:ilvl w:val="3"/>
          <w:numId w:val="6"/>
        </w:numPr>
        <w:ind w:left="567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Правосуб’єктність платників податків</w:t>
      </w:r>
      <w:r w:rsidR="006E43CA" w:rsidRPr="00EF020F">
        <w:rPr>
          <w:sz w:val="28"/>
          <w:szCs w:val="28"/>
          <w:lang w:val="uk-UA"/>
        </w:rPr>
        <w:t>.</w:t>
      </w:r>
    </w:p>
    <w:p w:rsidR="006E43CA" w:rsidRPr="00EF020F" w:rsidRDefault="006E43CA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6E43CA" w:rsidRPr="00EF020F" w:rsidRDefault="006E43CA" w:rsidP="005B7D7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Т-7_</w:t>
      </w:r>
      <w:r w:rsidR="009E2544" w:rsidRPr="00EF020F">
        <w:rPr>
          <w:b/>
          <w:sz w:val="28"/>
          <w:szCs w:val="28"/>
          <w:lang w:val="uk-UA"/>
        </w:rPr>
        <w:t>Правовий режим державного кредиту, державного та місцевого боргу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Поняття державного і муніципального кредиту.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Залучення державою чи муніципальними органами коштів.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Джерела фінансування дефіциту бюджетів.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Бюджетні запозичення. Державний внутрішній борг.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Функції державного і муніципального кредиту.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Співвідношення державного і муніципального кредиту та державного і муніципального боргу.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Державний і муніципальний борг.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Граничний обсяг внутрішнього та зовнішнього державного боргу.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Управління та обслуговування державним внутрішнім боргом України.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Юридична природа облігації. Строк облігації.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Облігації внутрішніх державних позик.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Цільові облігації внутрішніх та зовнішніх державних позик.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Продаж облігацій внутрішніх державних позик.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Казначейське зобов’язання України. Емісія казначейських зобов’язань.</w:t>
      </w:r>
    </w:p>
    <w:p w:rsidR="00EE42DB" w:rsidRPr="00EF020F" w:rsidRDefault="00EE42DB" w:rsidP="007B6079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Гарантія КМУ як форма державного кредиту.</w:t>
      </w:r>
    </w:p>
    <w:p w:rsidR="00727B51" w:rsidRPr="00EF020F" w:rsidRDefault="00EE42DB" w:rsidP="007B6079">
      <w:pPr>
        <w:pStyle w:val="af0"/>
        <w:numPr>
          <w:ilvl w:val="0"/>
          <w:numId w:val="9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Порядок здійснення запозичень до місцевих бюджетів</w:t>
      </w:r>
      <w:r w:rsidR="00727B51" w:rsidRPr="00EF020F">
        <w:rPr>
          <w:szCs w:val="28"/>
          <w:lang w:val="uk-UA"/>
        </w:rPr>
        <w:t>.</w:t>
      </w:r>
    </w:p>
    <w:p w:rsidR="006E43CA" w:rsidRPr="00EF020F" w:rsidRDefault="006E43CA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9E2544" w:rsidRPr="00EF020F" w:rsidRDefault="009E2544" w:rsidP="005B7D7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 xml:space="preserve">Т-8_Поняття, види та принципи загальнообов’язкового державного соціального страхування 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Фінанси загальнообов’язкового державного соціального страхування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Історія створення інституту соціального захисту. Об’єднання фондів.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Визначення загальнообов’язкового державного соціального страхування; принципи його здійснення.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Види загальнообов’язкового державного соціального страхування. Основи законодавства України про загальнообов’язкове державне соціальне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Види соціальних послуг та матеріального забезпечення.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Об’єкт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Суб’єкти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Страхувальники у системі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Страховики у системі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Страхові фонди у системі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Управління окремими видами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Джерела коштів загальнообов’язкового державного соціального страхування.</w:t>
      </w:r>
    </w:p>
    <w:p w:rsidR="00EE42DB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Розміри внесків на загальнообов’язкове державне соціальне страхування.</w:t>
      </w:r>
    </w:p>
    <w:p w:rsidR="009E2544" w:rsidRPr="00EF020F" w:rsidRDefault="00EE42DB" w:rsidP="007B6079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Страховий ризик для загальнообов’язкове державне соціальне страхування</w:t>
      </w:r>
    </w:p>
    <w:p w:rsidR="009E2544" w:rsidRPr="00EF020F" w:rsidRDefault="009E2544" w:rsidP="005B7D70">
      <w:pPr>
        <w:tabs>
          <w:tab w:val="left" w:pos="4653"/>
        </w:tabs>
        <w:ind w:left="567" w:hanging="425"/>
        <w:rPr>
          <w:sz w:val="28"/>
          <w:szCs w:val="28"/>
          <w:lang w:val="uk-UA"/>
        </w:rPr>
      </w:pPr>
    </w:p>
    <w:p w:rsidR="00020B19" w:rsidRPr="00EF020F" w:rsidRDefault="00020B19" w:rsidP="005B7D7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</w:t>
      </w:r>
      <w:r w:rsidR="009E2544" w:rsidRPr="00EF020F">
        <w:rPr>
          <w:b/>
          <w:sz w:val="28"/>
          <w:szCs w:val="28"/>
          <w:lang w:val="uk-UA"/>
        </w:rPr>
        <w:t>9</w:t>
      </w:r>
      <w:r w:rsidRPr="00EF020F">
        <w:rPr>
          <w:b/>
          <w:sz w:val="28"/>
          <w:szCs w:val="28"/>
          <w:lang w:val="uk-UA"/>
        </w:rPr>
        <w:t>_</w:t>
      </w:r>
      <w:r w:rsidR="009E2544" w:rsidRPr="00EF020F">
        <w:rPr>
          <w:b/>
          <w:sz w:val="28"/>
          <w:szCs w:val="28"/>
          <w:lang w:val="uk-UA"/>
        </w:rPr>
        <w:t>Правове регулювання державних і місцевих видатків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Державні і місцеві видатки — це публічні видатки, їх матеріальний зміст. Економічна категорія «публічні видатки».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Фінансово-правовий аспект поняття публічних видатків. Ознаки публічних видатків.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Основні ознаки публічних видатків; їх класифікація.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Фактичне Здійснення публічних видатків. Джерела фінансування видатків.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Правові режими фінансування публічних видатків.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фінансування публічних видатків. Індивідуальні фінансові плани.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Принцип плановості, безповоротності та без </w:t>
      </w:r>
      <w:proofErr w:type="spellStart"/>
      <w:r w:rsidRPr="00EF020F">
        <w:rPr>
          <w:szCs w:val="28"/>
          <w:lang w:val="uk-UA"/>
        </w:rPr>
        <w:t>оплат-ності</w:t>
      </w:r>
      <w:proofErr w:type="spellEnd"/>
      <w:r w:rsidRPr="00EF020F">
        <w:rPr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Принцип цільового спрямування, фактичного </w:t>
      </w:r>
      <w:proofErr w:type="spellStart"/>
      <w:r w:rsidRPr="00EF020F">
        <w:rPr>
          <w:szCs w:val="28"/>
          <w:lang w:val="uk-UA"/>
        </w:rPr>
        <w:t>вико-нання</w:t>
      </w:r>
      <w:proofErr w:type="spellEnd"/>
      <w:r w:rsidRPr="00EF020F">
        <w:rPr>
          <w:szCs w:val="28"/>
          <w:lang w:val="uk-UA"/>
        </w:rPr>
        <w:t xml:space="preserve"> робіт.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Поняття та зміст кошторисно-бюджетного </w:t>
      </w:r>
      <w:proofErr w:type="spellStart"/>
      <w:r w:rsidRPr="00EF020F">
        <w:rPr>
          <w:bCs/>
          <w:szCs w:val="28"/>
          <w:lang w:val="uk-UA"/>
        </w:rPr>
        <w:t>фінансу-вання</w:t>
      </w:r>
      <w:proofErr w:type="spellEnd"/>
      <w:r w:rsidRPr="00EF020F">
        <w:rPr>
          <w:bCs/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Принципи та режим кошторисно-бюджетного фінансування.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Кошторис бюджетних установ. Бюджетне </w:t>
      </w:r>
      <w:proofErr w:type="spellStart"/>
      <w:r w:rsidRPr="00EF020F">
        <w:rPr>
          <w:bCs/>
          <w:szCs w:val="28"/>
          <w:lang w:val="uk-UA"/>
        </w:rPr>
        <w:t>зобов’язан-ня</w:t>
      </w:r>
      <w:proofErr w:type="spellEnd"/>
      <w:r w:rsidRPr="00EF020F">
        <w:rPr>
          <w:bCs/>
          <w:szCs w:val="28"/>
          <w:lang w:val="uk-UA"/>
        </w:rPr>
        <w:t>. Складові кошторисів.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Форма, види та </w:t>
      </w:r>
      <w:r w:rsidRPr="00EF020F">
        <w:rPr>
          <w:bCs/>
          <w:szCs w:val="28"/>
          <w:lang w:val="uk-UA"/>
        </w:rPr>
        <w:t>складові частини кошторисів.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План асигнувань та план надання кредитів із загального фонду бюджету.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План спеціального фонду державного бюджету. Зведені кошториси. 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shd w:val="clear" w:color="auto" w:fill="FFFFFF"/>
          <w:lang w:val="uk-UA"/>
        </w:rPr>
        <w:t xml:space="preserve">Порядок складання проектів кошторисів. Їх розгляд. </w:t>
      </w:r>
      <w:r w:rsidRPr="00EF020F">
        <w:rPr>
          <w:szCs w:val="28"/>
          <w:shd w:val="clear" w:color="auto" w:fill="FFFFFF"/>
          <w:lang w:val="uk-UA"/>
        </w:rPr>
        <w:t>Виконання кошторисів</w:t>
      </w:r>
      <w:r w:rsidRPr="00EF020F">
        <w:rPr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Розпорядниками бюджетних коштів. Джерела права правосуб’єктності розпорядників.</w:t>
      </w:r>
    </w:p>
    <w:p w:rsidR="00EE42DB" w:rsidRPr="00EF020F" w:rsidRDefault="00EE42DB" w:rsidP="007B6079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Основні функції головного розпорядника бюджетних коштів.</w:t>
      </w:r>
    </w:p>
    <w:p w:rsidR="00020B19" w:rsidRPr="00EF020F" w:rsidRDefault="00EE42DB" w:rsidP="007B6079">
      <w:pPr>
        <w:numPr>
          <w:ilvl w:val="0"/>
          <w:numId w:val="8"/>
        </w:numPr>
        <w:ind w:left="567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Розпорядник коштів бюджету нижчого рівня. Одержувачі бюджетних коштів</w:t>
      </w:r>
      <w:r w:rsidR="00020B19" w:rsidRPr="00EF020F">
        <w:rPr>
          <w:sz w:val="28"/>
          <w:szCs w:val="28"/>
          <w:lang w:val="uk-UA"/>
        </w:rPr>
        <w:t>.</w:t>
      </w:r>
    </w:p>
    <w:p w:rsidR="009E2544" w:rsidRPr="00EF020F" w:rsidRDefault="009E2544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9E2544" w:rsidRPr="00EF020F" w:rsidRDefault="009E2544" w:rsidP="005B7D7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Т-10_Фінансово-правове регулювання банківської діяльності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Необхідність та зміст банківської діяльності. Банки та їх види.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Види угод та операцій, які мають право здійснювати комерційні банки. Поняття банківської системи. 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Порядок створення, реєстрації та ліцензування банківських установ.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Поняття «банківське право». Банківське законодавство.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Метод правового регулювання банківської діяльності.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Норма банківського права. Сукупність норм банківського права — галузь права?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Комплексний характер банківського права.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Зв’язок банківського права з різними галузями права.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Система банківського права та законодавства.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Рахунки осіб в банках. Види рахунків. Повідомлення про відкриття/закриття рахунку платника податків. 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Закон «Про платіжні системи та переказ коштів в Україні».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Порядок відкриття банками рахунків. </w:t>
      </w:r>
      <w:r w:rsidRPr="00EF020F">
        <w:rPr>
          <w:szCs w:val="28"/>
          <w:shd w:val="clear" w:color="auto" w:fill="FFFFFF"/>
          <w:lang w:val="uk-UA"/>
        </w:rPr>
        <w:t>Ідентифікація та верифікація клієнта.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Накопичувальні, депозитні рахунки та </w:t>
      </w:r>
      <w:proofErr w:type="spellStart"/>
      <w:r w:rsidRPr="00EF020F">
        <w:rPr>
          <w:szCs w:val="28"/>
          <w:lang w:val="uk-UA"/>
        </w:rPr>
        <w:t>мультивалютні</w:t>
      </w:r>
      <w:proofErr w:type="spellEnd"/>
      <w:r w:rsidRPr="00EF020F">
        <w:rPr>
          <w:szCs w:val="28"/>
          <w:lang w:val="uk-UA"/>
        </w:rPr>
        <w:t xml:space="preserve"> рахунки у банках. Відкриття кореспондентських рахунків банками.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Зупинення операцій по рахунках.</w:t>
      </w:r>
    </w:p>
    <w:p w:rsidR="00EE42DB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Правове регулювання відносин між установами банків і клієнтами. Списання коштів з рахунків.</w:t>
      </w:r>
    </w:p>
    <w:p w:rsidR="009E2544" w:rsidRPr="00EF020F" w:rsidRDefault="00EE42DB" w:rsidP="007B6079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Договір банківського вкладу. Зміст відносин між банком і власником рахунка</w:t>
      </w:r>
    </w:p>
    <w:p w:rsidR="00EE42DB" w:rsidRPr="00EF020F" w:rsidRDefault="00EE42DB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9E2544" w:rsidRPr="00EF020F" w:rsidRDefault="009E2544" w:rsidP="005B7D7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Т-11_Грошовий обіг  основа економіки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Грошовий обіг та його вплив на фінанси. Грошова система.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Правові основи організації грошового обігу та його завдання.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Грошова реформа та грошова політика, роль НБУ. Емісія.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Спеціальна компетенція у сфері управління грошовим обігом бюджетних коштів.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Нормативні документи у сфері грошового обігу.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 xml:space="preserve">Розрахункові правовідносини. 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Форми грошових розрахунків.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Готівкові розрахунки. Оформлення. Ліміт каси.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Безготівкові розрахунки. Інструкції про безготівкові розрахунки.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Відповідальність за порушення готівкових операцій.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Розрахункові документи. Платіжні картки.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Форми безготівкових розрахунків.</w:t>
      </w:r>
    </w:p>
    <w:p w:rsidR="00EE42DB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Акредитивна та чекова форма безготівкових розрахунків.</w:t>
      </w:r>
    </w:p>
    <w:p w:rsidR="009E2544" w:rsidRPr="00EF020F" w:rsidRDefault="00EE42DB" w:rsidP="007B6079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lastRenderedPageBreak/>
        <w:t>Вексельні розрахунки</w:t>
      </w:r>
    </w:p>
    <w:p w:rsidR="00EE42DB" w:rsidRPr="00EF020F" w:rsidRDefault="00EE42DB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9E2544" w:rsidRPr="00EF020F" w:rsidRDefault="009E2544" w:rsidP="005B7D7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Т-12_Правові основи валютного регулювання та контролю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Валютні цінності та валютний ринок. 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Валютна політика. Валютний курс.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Інфляція та девальвація.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Валютна система. 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Валютні цінності та операції.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Конверсійні операції. 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Угоди </w:t>
      </w:r>
      <w:proofErr w:type="spellStart"/>
      <w:r w:rsidRPr="00EF020F">
        <w:rPr>
          <w:bCs/>
          <w:szCs w:val="28"/>
          <w:lang w:val="uk-UA"/>
        </w:rPr>
        <w:t>spot</w:t>
      </w:r>
      <w:proofErr w:type="spellEnd"/>
      <w:r w:rsidRPr="00EF020F">
        <w:rPr>
          <w:bCs/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Форвардні та ф’ючерсні операції.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Опціонні операції.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Угоди типу «</w:t>
      </w:r>
      <w:proofErr w:type="spellStart"/>
      <w:r w:rsidRPr="00EF020F">
        <w:rPr>
          <w:bCs/>
          <w:szCs w:val="28"/>
          <w:lang w:val="uk-UA"/>
        </w:rPr>
        <w:t>своп</w:t>
      </w:r>
      <w:proofErr w:type="spellEnd"/>
      <w:r w:rsidRPr="00EF020F">
        <w:rPr>
          <w:bCs/>
          <w:szCs w:val="28"/>
          <w:lang w:val="uk-UA"/>
        </w:rPr>
        <w:t>».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Система валютного регулювання та її принципи.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Валютні обмеження.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Суб’єкти валютних відносин.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Компетенції НБУ та КМУ у сфері валютного регулювання.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Валютний контроль та його напрями.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Суб’єкти, що здійснюють валютний контроль.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Порушення встановлених правил проведення валютних операцій.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Відповідальність за порушення валютних операцій.</w:t>
      </w:r>
    </w:p>
    <w:p w:rsidR="00EE42DB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Порядок за застосування </w:t>
      </w:r>
      <w:proofErr w:type="spellStart"/>
      <w:r w:rsidRPr="00EF020F">
        <w:rPr>
          <w:szCs w:val="28"/>
          <w:lang w:val="uk-UA"/>
        </w:rPr>
        <w:t>відповідальністі</w:t>
      </w:r>
      <w:proofErr w:type="spellEnd"/>
      <w:r w:rsidRPr="00EF020F">
        <w:rPr>
          <w:szCs w:val="28"/>
          <w:lang w:val="uk-UA"/>
        </w:rPr>
        <w:t xml:space="preserve"> за порушення валютних операцій.</w:t>
      </w:r>
    </w:p>
    <w:p w:rsidR="009E2544" w:rsidRPr="00EF020F" w:rsidRDefault="00EE42DB" w:rsidP="007B6079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Підстави для застосування санкцій за порушення валютних операцій</w:t>
      </w:r>
    </w:p>
    <w:p w:rsidR="00EE42DB" w:rsidRPr="00EF020F" w:rsidRDefault="00EE42DB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9E2544" w:rsidRPr="00EF020F" w:rsidRDefault="009E2544" w:rsidP="005B7D7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Т-13_Система правового регулювання страхової діяльності та обігу векселів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Поняття і мета страхування. Взаємозв’язок між страховою і кредитною діяльністю.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Функції страхування.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Принципи страхування.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proofErr w:type="spellStart"/>
      <w:r w:rsidRPr="00EF020F">
        <w:rPr>
          <w:szCs w:val="28"/>
          <w:lang w:val="uk-UA"/>
        </w:rPr>
        <w:t>Суброгація</w:t>
      </w:r>
      <w:proofErr w:type="spellEnd"/>
      <w:r w:rsidRPr="00EF020F">
        <w:rPr>
          <w:szCs w:val="28"/>
          <w:lang w:val="uk-UA"/>
        </w:rPr>
        <w:t>, контрибуція. Співстрахування і перестрахування.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Становлення страхового ринку. Принципи.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Сутність страхового права, страхування і страхової діяльності.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Предметом, метод і об’єкти страхового права.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Джерела страхового права.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Суб’єкти страхової діяльності.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Абандон, </w:t>
      </w:r>
      <w:proofErr w:type="spellStart"/>
      <w:r w:rsidRPr="00EF020F">
        <w:rPr>
          <w:szCs w:val="28"/>
          <w:lang w:val="uk-UA"/>
        </w:rPr>
        <w:t>суброгація</w:t>
      </w:r>
      <w:proofErr w:type="spellEnd"/>
      <w:r w:rsidRPr="00EF020F">
        <w:rPr>
          <w:szCs w:val="28"/>
          <w:lang w:val="uk-UA"/>
        </w:rPr>
        <w:t xml:space="preserve">, </w:t>
      </w:r>
      <w:proofErr w:type="spellStart"/>
      <w:r w:rsidRPr="00EF020F">
        <w:rPr>
          <w:szCs w:val="28"/>
          <w:lang w:val="uk-UA"/>
        </w:rPr>
        <w:t>франшиза</w:t>
      </w:r>
      <w:proofErr w:type="spellEnd"/>
      <w:r w:rsidRPr="00EF020F">
        <w:rPr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Правове регулювання страхування державними органами.</w:t>
      </w:r>
    </w:p>
    <w:p w:rsidR="00EE42DB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Нагляд за учасниками страхового ринку.</w:t>
      </w:r>
    </w:p>
    <w:p w:rsidR="005B7D70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bCs/>
          <w:iCs/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Нормативно-правове регулювання страхування Державною податковою службою.</w:t>
      </w:r>
    </w:p>
    <w:p w:rsidR="009E2544" w:rsidRPr="00EF020F" w:rsidRDefault="00EE42DB" w:rsidP="007B6079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bCs/>
          <w:iCs/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Історія розвитку страхового ринку в Україні</w:t>
      </w:r>
    </w:p>
    <w:p w:rsidR="00EE42DB" w:rsidRPr="00EF020F" w:rsidRDefault="00EE42DB" w:rsidP="005B7D7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:rsidR="009E2544" w:rsidRPr="00EF020F" w:rsidRDefault="009E2544" w:rsidP="005B7D7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</w:t>
      </w:r>
      <w:r w:rsidR="00EE42DB" w:rsidRPr="00EF020F">
        <w:rPr>
          <w:b/>
          <w:sz w:val="28"/>
          <w:szCs w:val="28"/>
          <w:lang w:val="uk-UA"/>
        </w:rPr>
        <w:t>14</w:t>
      </w:r>
      <w:r w:rsidRPr="00EF020F">
        <w:rPr>
          <w:b/>
          <w:sz w:val="28"/>
          <w:szCs w:val="28"/>
          <w:lang w:val="uk-UA"/>
        </w:rPr>
        <w:t>_Правове регулювання обігу векселів в Україні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Необхідність вексельних розрахунків.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Особливості вітчизняного вексельне </w:t>
      </w:r>
      <w:proofErr w:type="spellStart"/>
      <w:r w:rsidRPr="00EF020F">
        <w:rPr>
          <w:szCs w:val="28"/>
          <w:lang w:val="uk-UA"/>
        </w:rPr>
        <w:t>законод-авства</w:t>
      </w:r>
      <w:proofErr w:type="spellEnd"/>
      <w:r w:rsidRPr="00EF020F">
        <w:rPr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Основне питання вексельного законодавства. Поняття вексельного права.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Особливі характеристики векселя.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Переказний вексель за Уніфікованим законом. Визначення і основні ознаки.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Простий вексель за Уніфікованим законом. Визначення і основні ознаки.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Правові основи обігу векселів в Україні.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Основні операції банків з векселями: • аваль та кредитні операції, • врахування векселя.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Основні операції банків з векселями: • розрахунки з використанням векселів, інкасування та </w:t>
      </w:r>
      <w:proofErr w:type="spellStart"/>
      <w:r w:rsidRPr="00EF020F">
        <w:rPr>
          <w:szCs w:val="28"/>
          <w:lang w:val="uk-UA"/>
        </w:rPr>
        <w:t>доміціляція</w:t>
      </w:r>
      <w:proofErr w:type="spellEnd"/>
      <w:r w:rsidRPr="00EF020F">
        <w:rPr>
          <w:szCs w:val="28"/>
          <w:lang w:val="uk-UA"/>
        </w:rPr>
        <w:t>.</w:t>
      </w:r>
    </w:p>
    <w:p w:rsidR="00EE42DB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Основні операції банків з векселями: торгівля та зберігання векселів.</w:t>
      </w:r>
    </w:p>
    <w:p w:rsidR="009E2544" w:rsidRPr="00EF020F" w:rsidRDefault="00EE42DB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Поняття податкових векселів. Їх особливості</w:t>
      </w:r>
    </w:p>
    <w:p w:rsidR="00EF020F" w:rsidRPr="00EF020F" w:rsidRDefault="00EF020F" w:rsidP="007B6079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</w:p>
    <w:sectPr w:rsidR="00EF020F" w:rsidRPr="00EF020F" w:rsidSect="00B71B94">
      <w:headerReference w:type="even" r:id="rId9"/>
      <w:headerReference w:type="default" r:id="rId10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D0" w:rsidRDefault="00CC7ED0">
      <w:r>
        <w:separator/>
      </w:r>
    </w:p>
  </w:endnote>
  <w:endnote w:type="continuationSeparator" w:id="0">
    <w:p w:rsidR="00CC7ED0" w:rsidRDefault="00CC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D0" w:rsidRDefault="00CC7ED0">
      <w:r>
        <w:separator/>
      </w:r>
    </w:p>
  </w:footnote>
  <w:footnote w:type="continuationSeparator" w:id="0">
    <w:p w:rsidR="00CC7ED0" w:rsidRDefault="00CC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727">
      <w:rPr>
        <w:rStyle w:val="a8"/>
        <w:noProof/>
      </w:rPr>
      <w:t>- 2 -</w:t>
    </w:r>
    <w:r>
      <w:rPr>
        <w:rStyle w:val="a8"/>
      </w:rPr>
      <w:fldChar w:fldCharType="end"/>
    </w:r>
  </w:p>
  <w:p w:rsidR="004B282E" w:rsidRPr="00C9460A" w:rsidRDefault="00C9460A" w:rsidP="00021652">
    <w:pPr>
      <w:jc w:val="center"/>
      <w:rPr>
        <w:lang w:val="uk-UA"/>
      </w:rPr>
    </w:pPr>
    <w:proofErr w:type="spellStart"/>
    <w:r>
      <w:rPr>
        <w:lang w:val="uk-UA"/>
      </w:rPr>
      <w:t>ФінПРАВО</w:t>
    </w:r>
    <w:proofErr w:type="spellEnd"/>
  </w:p>
  <w:p w:rsidR="004B282E" w:rsidRPr="009E567A" w:rsidRDefault="00251DBB" w:rsidP="00021652">
    <w:pPr>
      <w:jc w:val="center"/>
      <w:rPr>
        <w:lang w:val="uk-UA"/>
      </w:rPr>
    </w:pPr>
    <w:r w:rsidRPr="009E567A">
      <w:rPr>
        <w:lang w:val="uk-UA"/>
      </w:rPr>
      <w:t xml:space="preserve">завдання до написання </w:t>
    </w:r>
    <w:r w:rsidR="00C9460A">
      <w:rPr>
        <w:lang w:val="uk-UA"/>
      </w:rPr>
      <w:t>ПО (</w:t>
    </w:r>
    <w:proofErr w:type="spellStart"/>
    <w:r w:rsidR="00C9460A">
      <w:rPr>
        <w:lang w:val="uk-UA"/>
      </w:rPr>
      <w:t>Срс</w:t>
    </w:r>
    <w:proofErr w:type="spellEnd"/>
    <w:r w:rsidR="00C9460A">
      <w:rPr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587D"/>
    <w:multiLevelType w:val="hybridMultilevel"/>
    <w:tmpl w:val="1CD0D584"/>
    <w:lvl w:ilvl="0" w:tplc="0419000F">
      <w:start w:val="1"/>
      <w:numFmt w:val="decimal"/>
      <w:lvlText w:val="%1."/>
      <w:lvlJc w:val="left"/>
      <w:pPr>
        <w:ind w:left="1722" w:hanging="360"/>
      </w:p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0DA818DC"/>
    <w:multiLevelType w:val="hybridMultilevel"/>
    <w:tmpl w:val="DF323098"/>
    <w:lvl w:ilvl="0" w:tplc="73A29C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BF5D84"/>
    <w:multiLevelType w:val="hybridMultilevel"/>
    <w:tmpl w:val="90662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3963D0"/>
    <w:multiLevelType w:val="hybridMultilevel"/>
    <w:tmpl w:val="D23E3E60"/>
    <w:lvl w:ilvl="0" w:tplc="6B147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151B8"/>
    <w:multiLevelType w:val="hybridMultilevel"/>
    <w:tmpl w:val="95DEE8CE"/>
    <w:lvl w:ilvl="0" w:tplc="D22443E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06352"/>
    <w:multiLevelType w:val="hybridMultilevel"/>
    <w:tmpl w:val="10A60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60094E"/>
    <w:multiLevelType w:val="hybridMultilevel"/>
    <w:tmpl w:val="5B74EC62"/>
    <w:lvl w:ilvl="0" w:tplc="73A2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46EC"/>
    <w:multiLevelType w:val="hybridMultilevel"/>
    <w:tmpl w:val="0F3A7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A2A90"/>
    <w:multiLevelType w:val="hybridMultilevel"/>
    <w:tmpl w:val="FDA6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450C0"/>
    <w:multiLevelType w:val="hybridMultilevel"/>
    <w:tmpl w:val="2F58B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B16B4"/>
    <w:multiLevelType w:val="hybridMultilevel"/>
    <w:tmpl w:val="3C60C02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2836726"/>
    <w:multiLevelType w:val="hybridMultilevel"/>
    <w:tmpl w:val="CF0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A2356"/>
    <w:multiLevelType w:val="hybridMultilevel"/>
    <w:tmpl w:val="495CC29E"/>
    <w:lvl w:ilvl="0" w:tplc="A4AAB37C">
      <w:start w:val="1"/>
      <w:numFmt w:val="decimal"/>
      <w:lvlText w:val="%1."/>
      <w:lvlJc w:val="left"/>
      <w:pPr>
        <w:ind w:left="1936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B"/>
    <w:rsid w:val="00000872"/>
    <w:rsid w:val="00020B19"/>
    <w:rsid w:val="00021652"/>
    <w:rsid w:val="00025136"/>
    <w:rsid w:val="00025E68"/>
    <w:rsid w:val="0004655B"/>
    <w:rsid w:val="00047FA7"/>
    <w:rsid w:val="00070295"/>
    <w:rsid w:val="000A3E4D"/>
    <w:rsid w:val="000E26EA"/>
    <w:rsid w:val="000E7E0A"/>
    <w:rsid w:val="000F7FCB"/>
    <w:rsid w:val="00103232"/>
    <w:rsid w:val="001074A1"/>
    <w:rsid w:val="00122E29"/>
    <w:rsid w:val="00130803"/>
    <w:rsid w:val="0013346C"/>
    <w:rsid w:val="00137065"/>
    <w:rsid w:val="00160140"/>
    <w:rsid w:val="00161BCA"/>
    <w:rsid w:val="00171F10"/>
    <w:rsid w:val="00172CA2"/>
    <w:rsid w:val="00196860"/>
    <w:rsid w:val="001C29A4"/>
    <w:rsid w:val="001C7AA4"/>
    <w:rsid w:val="001D044B"/>
    <w:rsid w:val="00200E63"/>
    <w:rsid w:val="00201678"/>
    <w:rsid w:val="00202615"/>
    <w:rsid w:val="0021460F"/>
    <w:rsid w:val="00214895"/>
    <w:rsid w:val="00217391"/>
    <w:rsid w:val="00230C6D"/>
    <w:rsid w:val="00235AA9"/>
    <w:rsid w:val="00251DBB"/>
    <w:rsid w:val="00256790"/>
    <w:rsid w:val="00260A34"/>
    <w:rsid w:val="00281DDD"/>
    <w:rsid w:val="002900A0"/>
    <w:rsid w:val="00293B25"/>
    <w:rsid w:val="002E783B"/>
    <w:rsid w:val="002F0F5B"/>
    <w:rsid w:val="002F5246"/>
    <w:rsid w:val="003110C7"/>
    <w:rsid w:val="0033476B"/>
    <w:rsid w:val="0034428F"/>
    <w:rsid w:val="003554EE"/>
    <w:rsid w:val="00356D2E"/>
    <w:rsid w:val="003629E5"/>
    <w:rsid w:val="00365676"/>
    <w:rsid w:val="00381E85"/>
    <w:rsid w:val="003C4244"/>
    <w:rsid w:val="003F0551"/>
    <w:rsid w:val="004104D7"/>
    <w:rsid w:val="00425F11"/>
    <w:rsid w:val="00435D17"/>
    <w:rsid w:val="00444FB6"/>
    <w:rsid w:val="0044689B"/>
    <w:rsid w:val="00466590"/>
    <w:rsid w:val="004A4770"/>
    <w:rsid w:val="004A516F"/>
    <w:rsid w:val="004B282E"/>
    <w:rsid w:val="004E68BB"/>
    <w:rsid w:val="004F1301"/>
    <w:rsid w:val="00502E7A"/>
    <w:rsid w:val="00522454"/>
    <w:rsid w:val="00523A23"/>
    <w:rsid w:val="00526C2C"/>
    <w:rsid w:val="00536B1F"/>
    <w:rsid w:val="00537D6C"/>
    <w:rsid w:val="0057044C"/>
    <w:rsid w:val="00580869"/>
    <w:rsid w:val="00585C7B"/>
    <w:rsid w:val="005B7D70"/>
    <w:rsid w:val="005D1C11"/>
    <w:rsid w:val="005D4872"/>
    <w:rsid w:val="005D7732"/>
    <w:rsid w:val="005E69A7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70B6"/>
    <w:rsid w:val="00701EE6"/>
    <w:rsid w:val="00711202"/>
    <w:rsid w:val="00716D6A"/>
    <w:rsid w:val="00727B51"/>
    <w:rsid w:val="00732A40"/>
    <w:rsid w:val="007340CB"/>
    <w:rsid w:val="00746FF8"/>
    <w:rsid w:val="00756EFB"/>
    <w:rsid w:val="007827CE"/>
    <w:rsid w:val="00782DE2"/>
    <w:rsid w:val="007B6079"/>
    <w:rsid w:val="007D2D2D"/>
    <w:rsid w:val="007D6BDB"/>
    <w:rsid w:val="00843B27"/>
    <w:rsid w:val="008678DE"/>
    <w:rsid w:val="00877CA7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51DD9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E2544"/>
    <w:rsid w:val="009E567A"/>
    <w:rsid w:val="009F7BEE"/>
    <w:rsid w:val="00A23A23"/>
    <w:rsid w:val="00A26CE9"/>
    <w:rsid w:val="00A45881"/>
    <w:rsid w:val="00A72384"/>
    <w:rsid w:val="00AD5B66"/>
    <w:rsid w:val="00AE208F"/>
    <w:rsid w:val="00AE3E3C"/>
    <w:rsid w:val="00B22E7D"/>
    <w:rsid w:val="00B41F83"/>
    <w:rsid w:val="00B71B94"/>
    <w:rsid w:val="00B73939"/>
    <w:rsid w:val="00BC479F"/>
    <w:rsid w:val="00BC7EDC"/>
    <w:rsid w:val="00BD539F"/>
    <w:rsid w:val="00BE2A52"/>
    <w:rsid w:val="00BE2F04"/>
    <w:rsid w:val="00C01F6D"/>
    <w:rsid w:val="00C05DA3"/>
    <w:rsid w:val="00C06BBD"/>
    <w:rsid w:val="00C40A99"/>
    <w:rsid w:val="00C415F7"/>
    <w:rsid w:val="00C438B3"/>
    <w:rsid w:val="00C526C6"/>
    <w:rsid w:val="00C9460A"/>
    <w:rsid w:val="00CC333C"/>
    <w:rsid w:val="00CC7ED0"/>
    <w:rsid w:val="00CE479C"/>
    <w:rsid w:val="00CE4912"/>
    <w:rsid w:val="00D144BB"/>
    <w:rsid w:val="00D259ED"/>
    <w:rsid w:val="00D339B6"/>
    <w:rsid w:val="00D56C08"/>
    <w:rsid w:val="00D82904"/>
    <w:rsid w:val="00D875B6"/>
    <w:rsid w:val="00DA52E4"/>
    <w:rsid w:val="00DB16CA"/>
    <w:rsid w:val="00DC73DE"/>
    <w:rsid w:val="00DE67F8"/>
    <w:rsid w:val="00E216BE"/>
    <w:rsid w:val="00E3247D"/>
    <w:rsid w:val="00E35727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42DB"/>
    <w:rsid w:val="00EE6834"/>
    <w:rsid w:val="00EF020F"/>
    <w:rsid w:val="00F10574"/>
    <w:rsid w:val="00F37102"/>
    <w:rsid w:val="00F417E0"/>
    <w:rsid w:val="00F47170"/>
    <w:rsid w:val="00F47481"/>
    <w:rsid w:val="00F561D6"/>
    <w:rsid w:val="00F84139"/>
    <w:rsid w:val="00F91B39"/>
    <w:rsid w:val="00FA6FE8"/>
    <w:rsid w:val="00FC548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paragraph" w:styleId="af0">
    <w:name w:val="List Paragraph"/>
    <w:basedOn w:val="a"/>
    <w:uiPriority w:val="34"/>
    <w:qFormat/>
    <w:rsid w:val="009E254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paragraph" w:styleId="af0">
    <w:name w:val="List Paragraph"/>
    <w:basedOn w:val="a"/>
    <w:uiPriority w:val="34"/>
    <w:qFormat/>
    <w:rsid w:val="009E254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ACE7-A50D-4BD4-B302-CA7BBEC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User</cp:lastModifiedBy>
  <cp:revision>14</cp:revision>
  <cp:lastPrinted>2016-10-02T17:26:00Z</cp:lastPrinted>
  <dcterms:created xsi:type="dcterms:W3CDTF">2018-12-15T17:41:00Z</dcterms:created>
  <dcterms:modified xsi:type="dcterms:W3CDTF">2021-03-14T16:59:00Z</dcterms:modified>
</cp:coreProperties>
</file>