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E2" w:rsidRPr="00AE4DB2" w:rsidRDefault="00D306EB" w:rsidP="00AE4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DB2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робота №1</w:t>
      </w:r>
    </w:p>
    <w:p w:rsidR="00D306EB" w:rsidRPr="00AE4DB2" w:rsidRDefault="00D306EB" w:rsidP="00AE4DB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Тема</w:t>
      </w:r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: «</w:t>
      </w:r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Національний</w:t>
      </w:r>
      <w:proofErr w:type="spellEnd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банк </w:t>
      </w:r>
      <w:proofErr w:type="spellStart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України</w:t>
      </w:r>
      <w:proofErr w:type="spellEnd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як </w:t>
      </w:r>
      <w:proofErr w:type="spellStart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центральний</w:t>
      </w:r>
      <w:proofErr w:type="spellEnd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банк та </w:t>
      </w:r>
      <w:proofErr w:type="spellStart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особ</w:t>
      </w:r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softHyphen/>
        <w:t>ливий</w:t>
      </w:r>
      <w:proofErr w:type="spellEnd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орган </w:t>
      </w:r>
      <w:proofErr w:type="gramStart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державного</w:t>
      </w:r>
      <w:proofErr w:type="gramEnd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управ</w:t>
      </w:r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softHyphen/>
        <w:t>ління</w:t>
      </w:r>
      <w:proofErr w:type="spellEnd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; </w:t>
      </w:r>
      <w:proofErr w:type="spellStart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його</w:t>
      </w:r>
      <w:proofErr w:type="spellEnd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правовий</w:t>
      </w:r>
      <w:proofErr w:type="spellEnd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статус </w:t>
      </w:r>
      <w:proofErr w:type="spellStart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</w:t>
      </w:r>
      <w:proofErr w:type="spellEnd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компетенція</w:t>
      </w:r>
      <w:proofErr w:type="spellEnd"/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»</w:t>
      </w:r>
    </w:p>
    <w:p w:rsidR="00D306EB" w:rsidRPr="00AE4DB2" w:rsidRDefault="00D306EB" w:rsidP="00AE4DB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E4DB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План</w:t>
      </w:r>
    </w:p>
    <w:p w:rsidR="00D306EB" w:rsidRPr="00AE4DB2" w:rsidRDefault="00D306EB" w:rsidP="00AE4DB2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4DB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E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DB2">
        <w:rPr>
          <w:rFonts w:ascii="Times New Roman" w:hAnsi="Times New Roman" w:cs="Times New Roman"/>
          <w:sz w:val="28"/>
          <w:szCs w:val="28"/>
        </w:rPr>
        <w:t>грошово-кредитного</w:t>
      </w:r>
      <w:proofErr w:type="spellEnd"/>
      <w:r w:rsidRPr="00AE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DB2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AE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D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4DB2">
        <w:rPr>
          <w:rFonts w:ascii="Times New Roman" w:hAnsi="Times New Roman" w:cs="Times New Roman"/>
          <w:sz w:val="28"/>
          <w:szCs w:val="28"/>
        </w:rPr>
        <w:t xml:space="preserve"> боку НБУ.</w:t>
      </w:r>
    </w:p>
    <w:p w:rsidR="00D306EB" w:rsidRPr="00AE4DB2" w:rsidRDefault="00D306EB" w:rsidP="00AE4D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proofErr w:type="spellStart"/>
      <w:r w:rsidRPr="00AE4DB2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AE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DB2">
        <w:rPr>
          <w:rFonts w:ascii="Times New Roman" w:hAnsi="Times New Roman" w:cs="Times New Roman"/>
          <w:sz w:val="28"/>
          <w:szCs w:val="28"/>
        </w:rPr>
        <w:t>відсоткової</w:t>
      </w:r>
      <w:proofErr w:type="spellEnd"/>
      <w:r w:rsidRPr="00AE4DB2">
        <w:rPr>
          <w:rFonts w:ascii="Times New Roman" w:hAnsi="Times New Roman" w:cs="Times New Roman"/>
          <w:sz w:val="28"/>
          <w:szCs w:val="28"/>
        </w:rPr>
        <w:t xml:space="preserve"> ставки </w:t>
      </w:r>
      <w:proofErr w:type="spellStart"/>
      <w:r w:rsidRPr="00AE4DB2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AE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D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4DB2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E4DB2">
        <w:rPr>
          <w:rFonts w:ascii="Times New Roman" w:hAnsi="Times New Roman" w:cs="Times New Roman"/>
          <w:sz w:val="28"/>
          <w:szCs w:val="28"/>
        </w:rPr>
        <w:t>ікової</w:t>
      </w:r>
      <w:proofErr w:type="spellEnd"/>
      <w:r w:rsidRPr="00AE4DB2">
        <w:rPr>
          <w:rFonts w:ascii="Times New Roman" w:hAnsi="Times New Roman" w:cs="Times New Roman"/>
          <w:sz w:val="28"/>
          <w:szCs w:val="28"/>
        </w:rPr>
        <w:t xml:space="preserve"> ставки НБУ.</w:t>
      </w:r>
    </w:p>
    <w:p w:rsidR="00AE4DB2" w:rsidRPr="00AE4DB2" w:rsidRDefault="00AE4DB2" w:rsidP="00AE4DB2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306EB" w:rsidRPr="00AE4DB2" w:rsidRDefault="00D306EB" w:rsidP="00AE4DB2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AE4DB2">
        <w:rPr>
          <w:b/>
          <w:sz w:val="28"/>
          <w:szCs w:val="28"/>
          <w:lang w:val="uk-UA"/>
        </w:rPr>
        <w:t xml:space="preserve">1. </w:t>
      </w:r>
      <w:proofErr w:type="spellStart"/>
      <w:r w:rsidRPr="00AE4DB2">
        <w:rPr>
          <w:b/>
          <w:sz w:val="28"/>
          <w:szCs w:val="28"/>
        </w:rPr>
        <w:t>Методи</w:t>
      </w:r>
      <w:proofErr w:type="spellEnd"/>
      <w:r w:rsidRPr="00AE4DB2">
        <w:rPr>
          <w:b/>
          <w:sz w:val="28"/>
          <w:szCs w:val="28"/>
        </w:rPr>
        <w:t xml:space="preserve"> </w:t>
      </w:r>
      <w:proofErr w:type="spellStart"/>
      <w:r w:rsidRPr="00AE4DB2">
        <w:rPr>
          <w:b/>
          <w:sz w:val="28"/>
          <w:szCs w:val="28"/>
        </w:rPr>
        <w:t>грошово-кредитного</w:t>
      </w:r>
      <w:proofErr w:type="spellEnd"/>
      <w:r w:rsidRPr="00AE4DB2">
        <w:rPr>
          <w:b/>
          <w:sz w:val="28"/>
          <w:szCs w:val="28"/>
        </w:rPr>
        <w:t xml:space="preserve"> </w:t>
      </w:r>
      <w:proofErr w:type="spellStart"/>
      <w:r w:rsidRPr="00AE4DB2">
        <w:rPr>
          <w:b/>
          <w:sz w:val="28"/>
          <w:szCs w:val="28"/>
        </w:rPr>
        <w:t>регулювання</w:t>
      </w:r>
      <w:proofErr w:type="spellEnd"/>
      <w:r w:rsidRPr="00AE4DB2">
        <w:rPr>
          <w:b/>
          <w:sz w:val="28"/>
          <w:szCs w:val="28"/>
        </w:rPr>
        <w:t xml:space="preserve"> </w:t>
      </w:r>
      <w:proofErr w:type="spellStart"/>
      <w:r w:rsidRPr="00AE4DB2">
        <w:rPr>
          <w:b/>
          <w:sz w:val="28"/>
          <w:szCs w:val="28"/>
        </w:rPr>
        <w:t>з</w:t>
      </w:r>
      <w:proofErr w:type="spellEnd"/>
      <w:r w:rsidRPr="00AE4DB2">
        <w:rPr>
          <w:b/>
          <w:sz w:val="28"/>
          <w:szCs w:val="28"/>
        </w:rPr>
        <w:t xml:space="preserve"> боку НБУ.</w:t>
      </w:r>
    </w:p>
    <w:p w:rsidR="00D306EB" w:rsidRPr="00AE4DB2" w:rsidRDefault="00D306EB" w:rsidP="00AE4DB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E4DB2">
        <w:rPr>
          <w:sz w:val="28"/>
          <w:szCs w:val="28"/>
          <w:lang w:val="uk-UA"/>
        </w:rPr>
        <w:t xml:space="preserve">Основними методами грошово-кредитного регулювання є маніпулювання обліковими ставками, регулювання обсягів рефінансування, зміна розмірів обов'язкових банківських резервів, які кожний комерційний банк держави зберігає у центральному банку. </w:t>
      </w:r>
    </w:p>
    <w:p w:rsidR="00D306EB" w:rsidRPr="00AE4DB2" w:rsidRDefault="00D306EB" w:rsidP="00AE4DB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E4DB2">
        <w:rPr>
          <w:sz w:val="28"/>
          <w:szCs w:val="28"/>
          <w:lang w:val="uk-UA"/>
        </w:rPr>
        <w:t xml:space="preserve">Резервні вимоги - один із найстаріших і найпоширеніших інструментів регулювання грошово-кредитної сфери, який належить до непрямих монетарних методів. Уведення обов'язкової норми резервування зумовлено потребою забезпечення достатнього рівня ліквідності комерційних банків, уніфікації контролю за їхньою діяльністю. </w:t>
      </w:r>
    </w:p>
    <w:p w:rsidR="00D306EB" w:rsidRPr="00AE4DB2" w:rsidRDefault="00D306EB" w:rsidP="00AE4DB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E4DB2">
        <w:rPr>
          <w:sz w:val="28"/>
          <w:szCs w:val="28"/>
          <w:lang w:val="uk-UA"/>
        </w:rPr>
        <w:t xml:space="preserve">Крім політики резервування, НБУ здійснює грошово-кредитне регулювання шляхом провадження дисконтної політики, інструментами якої є офіційна облікова ставка. Її застосовують для обліку державних короткотермінових зобов’язань або переобліку комерційних векселів і ставки рефінансування у разі надання кредитів комерційним банкам. Регулювання дисконтної ставки НБУ є чинником подвійної дії, його використовують як для підвищення, так і зниження інфляції. </w:t>
      </w:r>
    </w:p>
    <w:p w:rsidR="00D306EB" w:rsidRDefault="00D306EB" w:rsidP="00AE4DB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E4DB2">
        <w:rPr>
          <w:sz w:val="28"/>
          <w:szCs w:val="28"/>
        </w:rPr>
        <w:t>Серед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основних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способів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реалізації</w:t>
      </w:r>
      <w:proofErr w:type="spellEnd"/>
      <w:r w:rsidRPr="00AE4DB2">
        <w:rPr>
          <w:sz w:val="28"/>
          <w:szCs w:val="28"/>
        </w:rPr>
        <w:t xml:space="preserve"> державою </w:t>
      </w:r>
      <w:proofErr w:type="spellStart"/>
      <w:r w:rsidRPr="00AE4DB2">
        <w:rPr>
          <w:sz w:val="28"/>
          <w:szCs w:val="28"/>
        </w:rPr>
        <w:t>грошово-кредитної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політики</w:t>
      </w:r>
      <w:proofErr w:type="spellEnd"/>
      <w:r w:rsidRPr="00AE4DB2">
        <w:rPr>
          <w:sz w:val="28"/>
          <w:szCs w:val="28"/>
        </w:rPr>
        <w:t xml:space="preserve"> в </w:t>
      </w:r>
      <w:proofErr w:type="spellStart"/>
      <w:r w:rsidRPr="00AE4DB2">
        <w:rPr>
          <w:sz w:val="28"/>
          <w:szCs w:val="28"/>
        </w:rPr>
        <w:t>розвинутих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proofErr w:type="gramStart"/>
      <w:r w:rsidRPr="00AE4DB2">
        <w:rPr>
          <w:sz w:val="28"/>
          <w:szCs w:val="28"/>
        </w:rPr>
        <w:t>країнах</w:t>
      </w:r>
      <w:proofErr w:type="spellEnd"/>
      <w:proofErr w:type="gram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важливу</w:t>
      </w:r>
      <w:proofErr w:type="spellEnd"/>
      <w:r w:rsidRPr="00AE4DB2">
        <w:rPr>
          <w:sz w:val="28"/>
          <w:szCs w:val="28"/>
        </w:rPr>
        <w:t xml:space="preserve"> роль </w:t>
      </w:r>
      <w:proofErr w:type="spellStart"/>
      <w:r w:rsidRPr="00AE4DB2">
        <w:rPr>
          <w:sz w:val="28"/>
          <w:szCs w:val="28"/>
        </w:rPr>
        <w:t>відіграють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операції</w:t>
      </w:r>
      <w:proofErr w:type="spellEnd"/>
      <w:r w:rsidRPr="00AE4DB2">
        <w:rPr>
          <w:sz w:val="28"/>
          <w:szCs w:val="28"/>
        </w:rPr>
        <w:t xml:space="preserve"> на </w:t>
      </w:r>
      <w:proofErr w:type="spellStart"/>
      <w:r w:rsidRPr="00AE4DB2">
        <w:rPr>
          <w:sz w:val="28"/>
          <w:szCs w:val="28"/>
        </w:rPr>
        <w:t>відкритому</w:t>
      </w:r>
      <w:proofErr w:type="spellEnd"/>
      <w:r w:rsidRPr="00AE4DB2">
        <w:rPr>
          <w:sz w:val="28"/>
          <w:szCs w:val="28"/>
        </w:rPr>
        <w:t xml:space="preserve"> ринку. </w:t>
      </w:r>
      <w:proofErr w:type="spellStart"/>
      <w:proofErr w:type="gramStart"/>
      <w:r w:rsidRPr="00AE4DB2">
        <w:rPr>
          <w:sz w:val="28"/>
          <w:szCs w:val="28"/>
        </w:rPr>
        <w:t>Ц</w:t>
      </w:r>
      <w:proofErr w:type="gramEnd"/>
      <w:r w:rsidRPr="00AE4DB2">
        <w:rPr>
          <w:sz w:val="28"/>
          <w:szCs w:val="28"/>
        </w:rPr>
        <w:t>і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операції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передбачають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купівлю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і</w:t>
      </w:r>
      <w:proofErr w:type="spellEnd"/>
      <w:r w:rsidRPr="00AE4DB2">
        <w:rPr>
          <w:sz w:val="28"/>
          <w:szCs w:val="28"/>
        </w:rPr>
        <w:t xml:space="preserve"> продаж </w:t>
      </w:r>
      <w:proofErr w:type="spellStart"/>
      <w:r w:rsidRPr="00AE4DB2">
        <w:rPr>
          <w:sz w:val="28"/>
          <w:szCs w:val="28"/>
        </w:rPr>
        <w:t>державних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облігацій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центральним</w:t>
      </w:r>
      <w:proofErr w:type="spellEnd"/>
      <w:r w:rsidRPr="00AE4DB2">
        <w:rPr>
          <w:sz w:val="28"/>
          <w:szCs w:val="28"/>
        </w:rPr>
        <w:t xml:space="preserve"> банком </w:t>
      </w:r>
      <w:proofErr w:type="spellStart"/>
      <w:r w:rsidRPr="00AE4DB2">
        <w:rPr>
          <w:sz w:val="28"/>
          <w:szCs w:val="28"/>
        </w:rPr>
        <w:t>з</w:t>
      </w:r>
      <w:proofErr w:type="spellEnd"/>
      <w:r w:rsidRPr="00AE4DB2">
        <w:rPr>
          <w:sz w:val="28"/>
          <w:szCs w:val="28"/>
        </w:rPr>
        <w:t xml:space="preserve"> одного боку </w:t>
      </w:r>
      <w:proofErr w:type="spellStart"/>
      <w:r w:rsidRPr="00AE4DB2">
        <w:rPr>
          <w:sz w:val="28"/>
          <w:szCs w:val="28"/>
        </w:rPr>
        <w:t>і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комерційними</w:t>
      </w:r>
      <w:proofErr w:type="spellEnd"/>
      <w:r w:rsidRPr="00AE4DB2">
        <w:rPr>
          <w:sz w:val="28"/>
          <w:szCs w:val="28"/>
        </w:rPr>
        <w:t xml:space="preserve"> банками, </w:t>
      </w:r>
      <w:proofErr w:type="spellStart"/>
      <w:r w:rsidRPr="00AE4DB2">
        <w:rPr>
          <w:sz w:val="28"/>
          <w:szCs w:val="28"/>
        </w:rPr>
        <w:t>фінансовими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компаніями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і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населенням</w:t>
      </w:r>
      <w:proofErr w:type="spellEnd"/>
      <w:r w:rsidRPr="00AE4DB2">
        <w:rPr>
          <w:sz w:val="28"/>
          <w:szCs w:val="28"/>
        </w:rPr>
        <w:t xml:space="preserve"> - </w:t>
      </w:r>
      <w:proofErr w:type="spellStart"/>
      <w:r w:rsidRPr="00AE4DB2">
        <w:rPr>
          <w:sz w:val="28"/>
          <w:szCs w:val="28"/>
        </w:rPr>
        <w:t>з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іншого</w:t>
      </w:r>
      <w:proofErr w:type="spellEnd"/>
      <w:r w:rsidRPr="00AE4DB2">
        <w:rPr>
          <w:sz w:val="28"/>
          <w:szCs w:val="28"/>
        </w:rPr>
        <w:t xml:space="preserve">. У </w:t>
      </w:r>
      <w:proofErr w:type="spellStart"/>
      <w:r w:rsidRPr="00AE4DB2">
        <w:rPr>
          <w:sz w:val="28"/>
          <w:szCs w:val="28"/>
        </w:rPr>
        <w:t>випадку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купі</w:t>
      </w:r>
      <w:proofErr w:type="gramStart"/>
      <w:r w:rsidRPr="00AE4DB2">
        <w:rPr>
          <w:sz w:val="28"/>
          <w:szCs w:val="28"/>
        </w:rPr>
        <w:t>вл</w:t>
      </w:r>
      <w:proofErr w:type="gramEnd"/>
      <w:r w:rsidRPr="00AE4DB2">
        <w:rPr>
          <w:sz w:val="28"/>
          <w:szCs w:val="28"/>
        </w:rPr>
        <w:t>і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центральний</w:t>
      </w:r>
      <w:proofErr w:type="spellEnd"/>
      <w:r w:rsidRPr="00AE4DB2">
        <w:rPr>
          <w:sz w:val="28"/>
          <w:szCs w:val="28"/>
        </w:rPr>
        <w:t xml:space="preserve"> банк </w:t>
      </w:r>
      <w:proofErr w:type="spellStart"/>
      <w:r w:rsidRPr="00AE4DB2">
        <w:rPr>
          <w:sz w:val="28"/>
          <w:szCs w:val="28"/>
        </w:rPr>
        <w:t>переказує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відповідні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суми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комерційним</w:t>
      </w:r>
      <w:proofErr w:type="spellEnd"/>
      <w:r w:rsidRPr="00AE4DB2">
        <w:rPr>
          <w:sz w:val="28"/>
          <w:szCs w:val="28"/>
        </w:rPr>
        <w:t xml:space="preserve"> банкам, </w:t>
      </w:r>
      <w:proofErr w:type="spellStart"/>
      <w:r w:rsidRPr="00AE4DB2">
        <w:rPr>
          <w:sz w:val="28"/>
          <w:szCs w:val="28"/>
        </w:rPr>
        <w:t>збільшуючи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залишки</w:t>
      </w:r>
      <w:proofErr w:type="spellEnd"/>
      <w:r w:rsidRPr="00AE4DB2">
        <w:rPr>
          <w:sz w:val="28"/>
          <w:szCs w:val="28"/>
        </w:rPr>
        <w:t xml:space="preserve"> на </w:t>
      </w:r>
      <w:proofErr w:type="spellStart"/>
      <w:r w:rsidRPr="00AE4DB2">
        <w:rPr>
          <w:sz w:val="28"/>
          <w:szCs w:val="28"/>
        </w:rPr>
        <w:t>їхніх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резервних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рахунках</w:t>
      </w:r>
      <w:proofErr w:type="spellEnd"/>
      <w:r w:rsidRPr="00AE4DB2">
        <w:rPr>
          <w:sz w:val="28"/>
          <w:szCs w:val="28"/>
        </w:rPr>
        <w:t xml:space="preserve">. </w:t>
      </w:r>
      <w:proofErr w:type="gramStart"/>
      <w:r w:rsidRPr="00AE4DB2">
        <w:rPr>
          <w:sz w:val="28"/>
          <w:szCs w:val="28"/>
        </w:rPr>
        <w:t>У</w:t>
      </w:r>
      <w:proofErr w:type="gram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разі</w:t>
      </w:r>
      <w:proofErr w:type="spellEnd"/>
      <w:r w:rsidRPr="00AE4DB2">
        <w:rPr>
          <w:sz w:val="28"/>
          <w:szCs w:val="28"/>
        </w:rPr>
        <w:t xml:space="preserve"> продажу </w:t>
      </w:r>
      <w:proofErr w:type="spellStart"/>
      <w:r w:rsidRPr="00AE4DB2">
        <w:rPr>
          <w:sz w:val="28"/>
          <w:szCs w:val="28"/>
        </w:rPr>
        <w:t>центральний</w:t>
      </w:r>
      <w:proofErr w:type="spellEnd"/>
      <w:r w:rsidRPr="00AE4DB2">
        <w:rPr>
          <w:sz w:val="28"/>
          <w:szCs w:val="28"/>
        </w:rPr>
        <w:t xml:space="preserve"> банк </w:t>
      </w:r>
      <w:proofErr w:type="spellStart"/>
      <w:r w:rsidRPr="00AE4DB2">
        <w:rPr>
          <w:sz w:val="28"/>
          <w:szCs w:val="28"/>
        </w:rPr>
        <w:t>списує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суми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з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цих</w:t>
      </w:r>
      <w:proofErr w:type="spellEnd"/>
      <w:r w:rsidRPr="00AE4DB2">
        <w:rPr>
          <w:sz w:val="28"/>
          <w:szCs w:val="28"/>
        </w:rPr>
        <w:t xml:space="preserve"> </w:t>
      </w:r>
      <w:proofErr w:type="spellStart"/>
      <w:r w:rsidRPr="00AE4DB2">
        <w:rPr>
          <w:sz w:val="28"/>
          <w:szCs w:val="28"/>
        </w:rPr>
        <w:t>рахунків</w:t>
      </w:r>
      <w:proofErr w:type="spellEnd"/>
      <w:r w:rsidRPr="00AE4DB2">
        <w:rPr>
          <w:sz w:val="28"/>
          <w:szCs w:val="28"/>
        </w:rPr>
        <w:t xml:space="preserve">. </w:t>
      </w:r>
    </w:p>
    <w:p w:rsidR="009B399B" w:rsidRPr="009B399B" w:rsidRDefault="009B399B" w:rsidP="00AE4DB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D306EB" w:rsidRPr="00AE4DB2" w:rsidRDefault="00D306EB" w:rsidP="00AE4DB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E4DB2">
        <w:rPr>
          <w:rFonts w:ascii="Times New Roman" w:hAnsi="Times New Roman" w:cs="Times New Roman"/>
          <w:b/>
          <w:sz w:val="28"/>
          <w:szCs w:val="28"/>
          <w:lang w:val="uk-UA"/>
        </w:rPr>
        <w:t>Взаємозв’язок відсоткової ставки банків і облікової ставки НБУ.</w:t>
      </w:r>
    </w:p>
    <w:p w:rsidR="00D306EB" w:rsidRPr="00AE4DB2" w:rsidRDefault="00D306EB" w:rsidP="00AE4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Облікова ставка Національного банку України</w:t>
      </w:r>
      <w:r w:rsidRPr="00AE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виражена у відсотках плата, що береться </w:t>
      </w:r>
      <w:hyperlink r:id="rId5" w:tgtFrame="_blank" w:history="1">
        <w:r w:rsidRPr="00AE4DB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Національним банком України</w:t>
        </w:r>
      </w:hyperlink>
      <w:r w:rsidRPr="00AE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рефінансування комерційних банків шляхом купівлі векселів до настання строку платежу з них і утримується з номінальної суми векселя. </w:t>
      </w:r>
      <w:proofErr w:type="spellStart"/>
      <w:proofErr w:type="gram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ікова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ставка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найнижчою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рефінансування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орієнтиром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06EB" w:rsidRPr="00AE4DB2" w:rsidRDefault="00D306EB" w:rsidP="00AE4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ікова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 — один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монетарних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установлює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суб'єктів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грошово-кредитного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залучених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розміщених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грошових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основною процентною ставкою, яка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макроекономічній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бюджетній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та на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грошово-кредитному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ринку.</w:t>
      </w:r>
    </w:p>
    <w:p w:rsidR="00AE4DB2" w:rsidRPr="00AE4DB2" w:rsidRDefault="00AE4DB2" w:rsidP="00AE4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Позичковий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відсоток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плата, яку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позичальника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останнім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позиченими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грошима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Ставка (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норма)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відсотка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відносний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банківського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кредиту,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відображає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сплачених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позики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*.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Комерційні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банки як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відсоткової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за кредитами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попиту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кредитному ринку та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ікової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НБУ. Як правило,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попиту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позики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відсоткової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ставки. При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кредитного</w:t>
      </w:r>
      <w:proofErr w:type="gram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банк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домовляється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позичальниками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величину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відсоткової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ставки.</w:t>
      </w:r>
    </w:p>
    <w:p w:rsidR="00AE4DB2" w:rsidRPr="00AE4DB2" w:rsidRDefault="00AE4DB2" w:rsidP="00AE4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Банківський позичковий відсоток відображає економічні відносини перерозподілу і привласнення банком частини прибутку, що створюється на підприємствах-позичальниках внаслідок продуктивного використання наданої позики. </w:t>
      </w:r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інтенсивність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попиту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банківський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суб'єктів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івнем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динамікою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ділової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товаровиробників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6EB" w:rsidRPr="00AE4DB2" w:rsidRDefault="00AE4DB2" w:rsidP="00AE4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відсоткової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багатофакторний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багатьма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чинниками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 </w:t>
      </w:r>
      <w:proofErr w:type="spellStart"/>
      <w:proofErr w:type="gram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облікової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позики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позики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платоспроможність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авторитет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позичальника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інфляції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ринкової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кон'юнктури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диференціації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кредитного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відсотка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чинником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ціна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Чим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дорожче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 обходиться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відсоткова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ставка. В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вирішальний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ціну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</w:t>
      </w:r>
      <w:proofErr w:type="gram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рсів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gram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ійснюють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депозитних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ставок. За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короткостроковими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позиками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ставка, як правило,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довгостроковими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Короткостроковими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кредити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поточну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виробничу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товарами,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реалізуються</w:t>
      </w:r>
      <w:proofErr w:type="spellEnd"/>
      <w:r w:rsidRPr="00AE4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306EB" w:rsidRPr="00AE4DB2" w:rsidSect="003F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3F3"/>
    <w:multiLevelType w:val="hybridMultilevel"/>
    <w:tmpl w:val="BED8FA84"/>
    <w:lvl w:ilvl="0" w:tplc="28CC7048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63B50"/>
    <w:multiLevelType w:val="hybridMultilevel"/>
    <w:tmpl w:val="B2A04F26"/>
    <w:lvl w:ilvl="0" w:tplc="D9869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C0EC0"/>
    <w:multiLevelType w:val="hybridMultilevel"/>
    <w:tmpl w:val="B2A04F26"/>
    <w:lvl w:ilvl="0" w:tplc="D9869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06EB"/>
    <w:rsid w:val="003F1FE2"/>
    <w:rsid w:val="009B399B"/>
    <w:rsid w:val="00AE4DB2"/>
    <w:rsid w:val="00D3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6EB"/>
    <w:rPr>
      <w:b/>
      <w:bCs/>
    </w:rPr>
  </w:style>
  <w:style w:type="character" w:styleId="a6">
    <w:name w:val="Hyperlink"/>
    <w:basedOn w:val="a0"/>
    <w:uiPriority w:val="99"/>
    <w:semiHidden/>
    <w:unhideWhenUsed/>
    <w:rsid w:val="00D30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F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2011-10-24T15:29:00Z</dcterms:created>
  <dcterms:modified xsi:type="dcterms:W3CDTF">2011-10-24T15:54:00Z</dcterms:modified>
</cp:coreProperties>
</file>