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2A325A" w:rsidRDefault="00D53AE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</w:rPr>
        <w:t xml:space="preserve">ЗВО </w:t>
      </w:r>
      <w:r w:rsidRPr="002A325A">
        <w:rPr>
          <w:b/>
          <w:bCs/>
          <w:color w:val="auto"/>
          <w:sz w:val="28"/>
          <w:szCs w:val="28"/>
          <w:lang w:val="uk-UA"/>
        </w:rPr>
        <w:t>«</w:t>
      </w:r>
      <w:r w:rsidR="002F30AE" w:rsidRPr="002A325A">
        <w:rPr>
          <w:b/>
          <w:bCs/>
          <w:color w:val="auto"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2A325A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2A325A" w:rsidRDefault="002F30A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ІНСТИТУТ ЕКОНОМІКИ ТА МЕНЕДЖМЕНТУ</w:t>
      </w:r>
    </w:p>
    <w:p w:rsidR="00B94391" w:rsidRPr="002A325A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2A325A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2A325A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2A325A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2A325A" w:rsidRDefault="0033169D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СИЛАБУС</w:t>
      </w:r>
    </w:p>
    <w:p w:rsidR="00B94391" w:rsidRPr="002A325A" w:rsidRDefault="003964D5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вибір</w:t>
      </w:r>
      <w:r w:rsidR="00B94391" w:rsidRPr="002A325A">
        <w:rPr>
          <w:rFonts w:ascii="Times New Roman" w:hAnsi="Times New Roman" w:cs="Times New Roman"/>
          <w:b/>
          <w:sz w:val="28"/>
          <w:szCs w:val="28"/>
          <w:lang w:val="uk-UA"/>
        </w:rPr>
        <w:t>кової навчальної дисципліни Циклу професійної підготовки</w:t>
      </w:r>
    </w:p>
    <w:p w:rsidR="0033169D" w:rsidRPr="002A325A" w:rsidRDefault="001E733C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«</w:t>
      </w:r>
      <w:r w:rsidR="00FE3398">
        <w:rPr>
          <w:b/>
          <w:bCs/>
          <w:color w:val="auto"/>
          <w:sz w:val="28"/>
          <w:szCs w:val="28"/>
          <w:lang w:val="uk-UA"/>
        </w:rPr>
        <w:t>Страхування</w:t>
      </w:r>
      <w:r w:rsidR="0033169D" w:rsidRPr="002A325A">
        <w:rPr>
          <w:b/>
          <w:bCs/>
          <w:color w:val="auto"/>
          <w:sz w:val="28"/>
          <w:szCs w:val="28"/>
          <w:lang w:val="uk-UA"/>
        </w:rPr>
        <w:t>»</w:t>
      </w:r>
    </w:p>
    <w:p w:rsidR="00BD5E7A" w:rsidRPr="002A325A" w:rsidRDefault="00BD5E7A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2A325A" w:rsidRDefault="001E733C" w:rsidP="00FD5E58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Б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>акалавр</w:t>
            </w:r>
          </w:p>
        </w:tc>
      </w:tr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2A325A" w:rsidRDefault="001E733C" w:rsidP="001E733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075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Pr="002A325A">
              <w:rPr>
                <w:color w:val="auto"/>
                <w:sz w:val="28"/>
                <w:szCs w:val="28"/>
                <w:lang w:val="uk-UA"/>
              </w:rPr>
              <w:t>Маркетинг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2A325A" w:rsidRDefault="00FD5E58" w:rsidP="001E733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«</w:t>
            </w:r>
            <w:r w:rsidR="001E733C" w:rsidRPr="002A325A">
              <w:rPr>
                <w:color w:val="auto"/>
                <w:sz w:val="28"/>
                <w:szCs w:val="28"/>
                <w:lang w:val="uk-UA"/>
              </w:rPr>
              <w:t>Маркетинг</w:t>
            </w:r>
            <w:r w:rsidRPr="002A325A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2A325A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7156DF" w:rsidRPr="002A325A" w:rsidRDefault="007156DF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681" w:rsidRPr="00C66785" w:rsidRDefault="00770681" w:rsidP="00C6678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785">
        <w:rPr>
          <w:rFonts w:ascii="Times New Roman" w:hAnsi="Times New Roman" w:cs="Times New Roman"/>
          <w:sz w:val="28"/>
          <w:szCs w:val="28"/>
          <w:lang w:val="uk-UA"/>
        </w:rPr>
        <w:t>Страхування в цілому є інфраструктурою, що сприяє підвищенню ефективності всіх сфер підприємницької діяльності</w:t>
      </w:r>
    </w:p>
    <w:p w:rsidR="00C66785" w:rsidRDefault="00770681" w:rsidP="00C6678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взаємозв’язків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непередбачуваних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7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678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небезпек.зміцнення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макроекономічному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6DF" w:rsidRPr="00C66785" w:rsidRDefault="00C66785" w:rsidP="00C6678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7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5C32" w:rsidRPr="00C66785">
        <w:rPr>
          <w:rFonts w:ascii="Times New Roman" w:hAnsi="Times New Roman" w:cs="Times New Roman"/>
          <w:sz w:val="28"/>
          <w:szCs w:val="28"/>
          <w:lang w:val="uk-UA"/>
        </w:rPr>
        <w:t>олодіння</w:t>
      </w:r>
      <w:r w:rsidRPr="00C66785">
        <w:rPr>
          <w:rFonts w:ascii="Times New Roman" w:hAnsi="Times New Roman" w:cs="Times New Roman"/>
          <w:sz w:val="28"/>
          <w:szCs w:val="28"/>
          <w:lang w:val="uk-UA"/>
        </w:rPr>
        <w:t xml:space="preserve"> здобувачем </w:t>
      </w:r>
      <w:r w:rsidR="00955C32" w:rsidRPr="00C66785">
        <w:rPr>
          <w:rFonts w:ascii="Times New Roman" w:hAnsi="Times New Roman" w:cs="Times New Roman"/>
          <w:sz w:val="28"/>
          <w:szCs w:val="28"/>
          <w:lang w:val="uk-UA"/>
        </w:rPr>
        <w:t xml:space="preserve"> теоретико-методичними та практичними навичками у</w:t>
      </w:r>
      <w:r w:rsidR="00955C32" w:rsidRPr="00C66785">
        <w:rPr>
          <w:rFonts w:ascii="Times New Roman" w:hAnsi="Times New Roman" w:cs="Times New Roman"/>
          <w:sz w:val="28"/>
          <w:szCs w:val="28"/>
        </w:rPr>
        <w:t> </w:t>
      </w:r>
      <w:r w:rsidR="00955C32" w:rsidRPr="00C66785">
        <w:rPr>
          <w:rFonts w:ascii="Times New Roman" w:hAnsi="Times New Roman" w:cs="Times New Roman"/>
          <w:sz w:val="28"/>
          <w:szCs w:val="28"/>
          <w:lang w:val="uk-UA"/>
        </w:rPr>
        <w:t>сфері страхових взаємовідносин щодо забезпечення страхового захисту інтересів юридичних і</w:t>
      </w:r>
      <w:r w:rsidR="00955C32" w:rsidRPr="00C66785">
        <w:rPr>
          <w:rFonts w:ascii="Times New Roman" w:hAnsi="Times New Roman" w:cs="Times New Roman"/>
          <w:sz w:val="28"/>
          <w:szCs w:val="28"/>
        </w:rPr>
        <w:t> </w:t>
      </w:r>
      <w:r w:rsidR="00955C32" w:rsidRPr="00C66785">
        <w:rPr>
          <w:rFonts w:ascii="Times New Roman" w:hAnsi="Times New Roman" w:cs="Times New Roman"/>
          <w:sz w:val="28"/>
          <w:szCs w:val="28"/>
          <w:lang w:val="uk-UA"/>
        </w:rPr>
        <w:t>фізичних осіб на випадок настання ризикових ситуацій для формування фахового світогляду економічних процесів та прийнят</w:t>
      </w:r>
      <w:r w:rsidR="00770681" w:rsidRPr="00C66785">
        <w:rPr>
          <w:rFonts w:ascii="Times New Roman" w:hAnsi="Times New Roman" w:cs="Times New Roman"/>
          <w:sz w:val="28"/>
          <w:szCs w:val="28"/>
          <w:lang w:val="uk-UA"/>
        </w:rPr>
        <w:t>тя якісних управлінських рішень</w:t>
      </w:r>
      <w:r w:rsidRPr="00C66785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актуальної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85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C66785">
        <w:rPr>
          <w:rFonts w:ascii="Times New Roman" w:hAnsi="Times New Roman" w:cs="Times New Roman"/>
          <w:sz w:val="28"/>
          <w:szCs w:val="28"/>
        </w:rPr>
        <w:t>.</w:t>
      </w:r>
    </w:p>
    <w:p w:rsidR="003764F4" w:rsidRPr="00C66785" w:rsidRDefault="003764F4" w:rsidP="00C66785">
      <w:pPr>
        <w:spacing w:after="0" w:line="240" w:lineRule="auto"/>
        <w:ind w:left="360" w:right="381"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4BFF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B94391" w:rsidRPr="00770681" w:rsidRDefault="00B94391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C32" w:rsidRPr="00770681" w:rsidRDefault="00955C32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t>1.</w:t>
      </w:r>
      <w:r w:rsidR="008B3817" w:rsidRPr="00770681">
        <w:rPr>
          <w:rFonts w:ascii="Times New Roman" w:hAnsi="Times New Roman" w:cs="Times New Roman"/>
          <w:sz w:val="28"/>
          <w:szCs w:val="28"/>
        </w:rPr>
        <w:t xml:space="preserve">Розуміти </w:t>
      </w:r>
      <w:r w:rsidRPr="00770681">
        <w:rPr>
          <w:rFonts w:ascii="Times New Roman" w:hAnsi="Times New Roman" w:cs="Times New Roman"/>
          <w:sz w:val="28"/>
          <w:szCs w:val="28"/>
        </w:rPr>
        <w:t xml:space="preserve"> теоретичний матеріал та орієнтуватися в питаннях організації та функціонування страхового бізнесу в Україні.</w:t>
      </w:r>
    </w:p>
    <w:p w:rsidR="00955C32" w:rsidRPr="00770681" w:rsidRDefault="00955C32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t xml:space="preserve">2.Вміти </w:t>
      </w:r>
      <w:r w:rsidR="00770681" w:rsidRPr="00770681">
        <w:rPr>
          <w:rFonts w:ascii="Times New Roman" w:hAnsi="Times New Roman" w:cs="Times New Roman"/>
          <w:sz w:val="28"/>
          <w:szCs w:val="28"/>
        </w:rPr>
        <w:t>використовуючи</w:t>
      </w:r>
      <w:r w:rsidR="008B3817" w:rsidRPr="00770681">
        <w:rPr>
          <w:rFonts w:ascii="Times New Roman" w:hAnsi="Times New Roman" w:cs="Times New Roman"/>
          <w:sz w:val="28"/>
          <w:szCs w:val="28"/>
        </w:rPr>
        <w:t xml:space="preserve"> теоретичний і методичний інструментарій, інформаційно-комунікаційних технології для економічного аналізу, планування, прогнозування страхових операцій</w:t>
      </w:r>
    </w:p>
    <w:p w:rsidR="00955C32" w:rsidRPr="00770681" w:rsidRDefault="00955C32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t>3. Визначати збитки та страхові відшкодування за видами страхування;</w:t>
      </w:r>
    </w:p>
    <w:p w:rsidR="008B3817" w:rsidRPr="00770681" w:rsidRDefault="00955C32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t xml:space="preserve">4. </w:t>
      </w:r>
      <w:r w:rsidR="008B3817" w:rsidRPr="00770681">
        <w:rPr>
          <w:rFonts w:ascii="Times New Roman" w:hAnsi="Times New Roman" w:cs="Times New Roman"/>
          <w:sz w:val="28"/>
          <w:szCs w:val="28"/>
        </w:rPr>
        <w:t xml:space="preserve"> Знати сутність страхового ринку як сукупності економічних відносин між його учасниками з  приводу купівлі-продажу страхових послуг, його принципи та функції, класифікацію страхових ринків та характеристику внутрішніх та зовнішніх факторів, що впливають на функціонування страхового ринку.</w:t>
      </w:r>
    </w:p>
    <w:p w:rsidR="008B3817" w:rsidRPr="00770681" w:rsidRDefault="008B3817" w:rsidP="00770681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81">
        <w:rPr>
          <w:rFonts w:ascii="Times New Roman" w:hAnsi="Times New Roman" w:cs="Times New Roman"/>
          <w:sz w:val="28"/>
          <w:szCs w:val="28"/>
        </w:rPr>
        <w:lastRenderedPageBreak/>
        <w:t>5. Здатність проводити маркетингові дослідження страхового ринку та формувати елементи маркетингового комплексу страховика.</w:t>
      </w:r>
    </w:p>
    <w:p w:rsidR="00770681" w:rsidRDefault="0077068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AB522A" w:rsidRPr="002A325A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147686" w:rsidRPr="00955C32" w:rsidRDefault="00147686" w:rsidP="00147686">
      <w:pPr>
        <w:spacing w:after="0" w:line="240" w:lineRule="auto"/>
        <w:ind w:right="5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55C32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проведення досліджень на відповідному рівні. </w:t>
      </w:r>
    </w:p>
    <w:p w:rsidR="00147686" w:rsidRPr="00147686" w:rsidRDefault="00147686" w:rsidP="00147686">
      <w:pPr>
        <w:tabs>
          <w:tab w:val="left" w:pos="0"/>
          <w:tab w:val="left" w:pos="4460"/>
          <w:tab w:val="left" w:pos="6900"/>
          <w:tab w:val="left" w:pos="9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55C32">
        <w:rPr>
          <w:rFonts w:ascii="Times New Roman" w:hAnsi="Times New Roman" w:cs="Times New Roman"/>
          <w:sz w:val="28"/>
          <w:szCs w:val="28"/>
          <w:lang w:val="uk-UA"/>
        </w:rPr>
        <w:t>Навички вик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ористання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147686" w:rsidP="00147686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147686" w:rsidRPr="00147686" w:rsidRDefault="00770681" w:rsidP="00147686">
      <w:pPr>
        <w:tabs>
          <w:tab w:val="left" w:pos="1440"/>
          <w:tab w:val="left" w:pos="2900"/>
          <w:tab w:val="left" w:pos="4560"/>
          <w:tab w:val="left" w:pos="6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47686" w:rsidRPr="00147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770681" w:rsidP="0014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47686" w:rsidRPr="00147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770681" w:rsidP="0014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7686" w:rsidRPr="00147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2A325A" w:rsidRDefault="00147686" w:rsidP="0014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AB522A" w:rsidRPr="002A325A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7A1AFD" w:rsidRPr="002A325A" w:rsidRDefault="0033169D" w:rsidP="00BE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25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Анотація дисципліни.</w:t>
      </w:r>
      <w:r w:rsidRPr="002A325A">
        <w:rPr>
          <w:bCs/>
          <w:i/>
          <w:iCs/>
          <w:sz w:val="28"/>
          <w:szCs w:val="28"/>
          <w:lang w:val="uk-UA"/>
        </w:rPr>
        <w:t xml:space="preserve"> </w:t>
      </w:r>
    </w:p>
    <w:p w:rsidR="00A302A8" w:rsidRPr="002A325A" w:rsidRDefault="00A302A8" w:rsidP="007A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3"/>
        <w:tblW w:w="9591" w:type="dxa"/>
        <w:tblLook w:val="04A0"/>
      </w:tblPr>
      <w:tblGrid>
        <w:gridCol w:w="9591"/>
      </w:tblGrid>
      <w:tr w:rsidR="002A325A" w:rsidRPr="002A325A" w:rsidTr="0036445D">
        <w:trPr>
          <w:trHeight w:val="364"/>
        </w:trPr>
        <w:tc>
          <w:tcPr>
            <w:tcW w:w="9591" w:type="dxa"/>
          </w:tcPr>
          <w:p w:rsidR="00247463" w:rsidRPr="002A325A" w:rsidRDefault="00247463" w:rsidP="0036445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</w:tr>
      <w:tr w:rsidR="002A325A" w:rsidRPr="002A325A" w:rsidTr="00247463">
        <w:trPr>
          <w:trHeight w:val="191"/>
        </w:trPr>
        <w:tc>
          <w:tcPr>
            <w:tcW w:w="9591" w:type="dxa"/>
          </w:tcPr>
          <w:p w:rsidR="00247463" w:rsidRPr="008E23F6" w:rsidRDefault="00E12848" w:rsidP="00BE6E3F">
            <w:pPr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1.</w:t>
            </w:r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Сутність</w:t>
            </w:r>
            <w:proofErr w:type="spellEnd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принципи</w:t>
            </w:r>
            <w:proofErr w:type="spellEnd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роль </w:t>
            </w:r>
            <w:proofErr w:type="spellStart"/>
            <w:r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страхування</w:t>
            </w:r>
            <w:proofErr w:type="spellEnd"/>
          </w:p>
        </w:tc>
      </w:tr>
      <w:tr w:rsidR="002A325A" w:rsidRPr="002A325A" w:rsidTr="00247463">
        <w:trPr>
          <w:trHeight w:val="382"/>
        </w:trPr>
        <w:tc>
          <w:tcPr>
            <w:tcW w:w="9591" w:type="dxa"/>
          </w:tcPr>
          <w:p w:rsidR="00247463" w:rsidRPr="008E23F6" w:rsidRDefault="00247463" w:rsidP="00E12848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="00E12848"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ласифікація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страхування</w:t>
            </w:r>
            <w:proofErr w:type="spellEnd"/>
            <w:r w:rsidR="008E23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8E23F6" w:rsidRDefault="00247463" w:rsidP="00E12848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Страхові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ризики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їх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оцінка</w:t>
            </w:r>
            <w:proofErr w:type="spellEnd"/>
            <w:r w:rsidR="008E23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8E23F6" w:rsidRDefault="00247463" w:rsidP="00E1284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 w:rsidR="008E23F6">
              <w:rPr>
                <w:rFonts w:ascii="Times New Roman" w:hAnsi="Times New Roman" w:cs="Times New Roman"/>
                <w:sz w:val="28"/>
                <w:szCs w:val="28"/>
              </w:rPr>
              <w:t xml:space="preserve">го ринку. </w:t>
            </w:r>
            <w:proofErr w:type="spellStart"/>
            <w:r w:rsidR="008E23F6">
              <w:rPr>
                <w:rFonts w:ascii="Times New Roman" w:hAnsi="Times New Roman" w:cs="Times New Roman"/>
                <w:sz w:val="28"/>
                <w:szCs w:val="28"/>
              </w:rPr>
              <w:t>Страховий</w:t>
            </w:r>
            <w:proofErr w:type="spellEnd"/>
            <w:r w:rsidR="008E23F6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</w:t>
            </w:r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25A" w:rsidRPr="002A325A" w:rsidTr="00247463">
        <w:trPr>
          <w:trHeight w:val="382"/>
        </w:trPr>
        <w:tc>
          <w:tcPr>
            <w:tcW w:w="9591" w:type="dxa"/>
          </w:tcPr>
          <w:p w:rsidR="00247463" w:rsidRPr="008E23F6" w:rsidRDefault="00247463" w:rsidP="00E12848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Концепція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сталого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компанії</w:t>
            </w:r>
            <w:proofErr w:type="spellEnd"/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8E23F6" w:rsidRDefault="00247463" w:rsidP="00E12848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Державне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страхової</w:t>
            </w:r>
            <w:proofErr w:type="spellEnd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12848" w:rsidRPr="008E23F6">
              <w:rPr>
                <w:rFonts w:ascii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</w:p>
        </w:tc>
      </w:tr>
      <w:tr w:rsidR="002A325A" w:rsidRPr="002A325A" w:rsidTr="008F0C54">
        <w:trPr>
          <w:trHeight w:val="347"/>
        </w:trPr>
        <w:tc>
          <w:tcPr>
            <w:tcW w:w="9591" w:type="dxa"/>
          </w:tcPr>
          <w:p w:rsidR="00247463" w:rsidRPr="008E23F6" w:rsidRDefault="00247463" w:rsidP="00E12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proofErr w:type="spellStart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Перестрахування</w:t>
            </w:r>
            <w:proofErr w:type="spellEnd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12848" w:rsidRPr="008E23F6">
              <w:rPr>
                <w:rFonts w:ascii="Times New Roman" w:hAnsi="Times New Roman" w:cs="Times New Roman"/>
                <w:sz w:val="28"/>
                <w:szCs w:val="28"/>
              </w:rPr>
              <w:t>співстрахування</w:t>
            </w:r>
            <w:proofErr w:type="spellEnd"/>
          </w:p>
        </w:tc>
      </w:tr>
      <w:tr w:rsidR="002A325A" w:rsidRPr="002A325A" w:rsidTr="00247463">
        <w:trPr>
          <w:trHeight w:val="250"/>
        </w:trPr>
        <w:tc>
          <w:tcPr>
            <w:tcW w:w="9591" w:type="dxa"/>
          </w:tcPr>
          <w:p w:rsidR="00247463" w:rsidRPr="008E23F6" w:rsidRDefault="00247463" w:rsidP="00E12848">
            <w:pPr>
              <w:keepNext/>
              <w:keepLines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proofErr w:type="spellStart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>Фінансова</w:t>
            </w:r>
            <w:proofErr w:type="spellEnd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>страхової</w:t>
            </w:r>
            <w:proofErr w:type="spellEnd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E6A" w:rsidRPr="008E23F6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</w:p>
        </w:tc>
      </w:tr>
    </w:tbl>
    <w:p w:rsidR="00525C72" w:rsidRPr="002A325A" w:rsidRDefault="00525C72" w:rsidP="0033169D">
      <w:pPr>
        <w:pStyle w:val="Default"/>
        <w:rPr>
          <w:b/>
          <w:bCs/>
          <w:i/>
          <w:iCs/>
          <w:color w:val="auto"/>
          <w:sz w:val="28"/>
          <w:szCs w:val="28"/>
          <w:lang w:val="uk-UA"/>
        </w:rPr>
      </w:pPr>
    </w:p>
    <w:p w:rsidR="0033169D" w:rsidRPr="002A325A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 xml:space="preserve">Загальна характеристика </w:t>
      </w:r>
    </w:p>
    <w:p w:rsidR="0033169D" w:rsidRPr="002A325A" w:rsidRDefault="0033169D" w:rsidP="00E560A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>Обсяг</w:t>
      </w:r>
      <w:r w:rsidRPr="002A325A">
        <w:rPr>
          <w:color w:val="auto"/>
          <w:sz w:val="28"/>
          <w:szCs w:val="28"/>
          <w:lang w:val="uk-UA"/>
        </w:rPr>
        <w:t>:</w:t>
      </w:r>
      <w:r w:rsidR="00437E6A">
        <w:rPr>
          <w:color w:val="auto"/>
          <w:sz w:val="28"/>
          <w:szCs w:val="28"/>
          <w:lang w:val="uk-UA"/>
        </w:rPr>
        <w:t xml:space="preserve"> 5</w:t>
      </w:r>
      <w:r w:rsidR="00730EFC" w:rsidRPr="002A325A">
        <w:rPr>
          <w:color w:val="auto"/>
          <w:sz w:val="28"/>
          <w:szCs w:val="28"/>
          <w:lang w:val="uk-UA"/>
        </w:rPr>
        <w:t xml:space="preserve"> кредит</w:t>
      </w:r>
      <w:r w:rsidR="00E27366">
        <w:rPr>
          <w:color w:val="auto"/>
          <w:sz w:val="28"/>
          <w:szCs w:val="28"/>
          <w:lang w:val="uk-UA"/>
        </w:rPr>
        <w:t>ів</w:t>
      </w:r>
      <w:r w:rsidR="00730EFC" w:rsidRPr="002A325A">
        <w:rPr>
          <w:color w:val="auto"/>
          <w:sz w:val="28"/>
          <w:szCs w:val="28"/>
          <w:lang w:val="uk-UA"/>
        </w:rPr>
        <w:t xml:space="preserve"> (</w:t>
      </w:r>
      <w:r w:rsidR="00437E6A">
        <w:rPr>
          <w:color w:val="auto"/>
          <w:sz w:val="28"/>
          <w:szCs w:val="28"/>
          <w:lang w:val="uk-UA"/>
        </w:rPr>
        <w:t>150</w:t>
      </w:r>
      <w:r w:rsidR="00730EFC" w:rsidRPr="002A325A">
        <w:rPr>
          <w:color w:val="auto"/>
          <w:sz w:val="28"/>
          <w:szCs w:val="28"/>
          <w:lang w:val="uk-UA"/>
        </w:rPr>
        <w:t xml:space="preserve"> год</w:t>
      </w:r>
      <w:r w:rsidR="00E560A2" w:rsidRPr="002A325A">
        <w:rPr>
          <w:color w:val="auto"/>
          <w:sz w:val="28"/>
          <w:szCs w:val="28"/>
          <w:lang w:val="uk-UA"/>
        </w:rPr>
        <w:t xml:space="preserve">.), </w:t>
      </w:r>
      <w:r w:rsidR="00730EFC" w:rsidRPr="002A325A">
        <w:rPr>
          <w:color w:val="auto"/>
          <w:sz w:val="28"/>
          <w:szCs w:val="28"/>
          <w:lang w:val="uk-UA"/>
        </w:rPr>
        <w:t xml:space="preserve">з них: </w:t>
      </w:r>
      <w:r w:rsidR="006212C4">
        <w:rPr>
          <w:color w:val="auto"/>
          <w:sz w:val="28"/>
          <w:szCs w:val="28"/>
          <w:lang w:val="uk-UA"/>
        </w:rPr>
        <w:t>30</w:t>
      </w:r>
      <w:r w:rsidR="00730EFC" w:rsidRPr="002A325A">
        <w:rPr>
          <w:color w:val="auto"/>
          <w:sz w:val="28"/>
          <w:szCs w:val="28"/>
          <w:lang w:val="uk-UA"/>
        </w:rPr>
        <w:t xml:space="preserve"> год.</w:t>
      </w:r>
      <w:r w:rsidR="00C75A44" w:rsidRPr="002A325A">
        <w:rPr>
          <w:color w:val="auto"/>
          <w:sz w:val="28"/>
          <w:szCs w:val="28"/>
          <w:lang w:val="uk-UA"/>
        </w:rPr>
        <w:t xml:space="preserve"> -</w:t>
      </w:r>
      <w:r w:rsidR="00730EFC" w:rsidRPr="002A325A">
        <w:rPr>
          <w:color w:val="auto"/>
          <w:sz w:val="28"/>
          <w:szCs w:val="28"/>
          <w:lang w:val="uk-UA"/>
        </w:rPr>
        <w:t xml:space="preserve"> лекцій, </w:t>
      </w:r>
      <w:r w:rsidR="00437E6A">
        <w:rPr>
          <w:color w:val="auto"/>
          <w:sz w:val="28"/>
          <w:szCs w:val="28"/>
          <w:lang w:val="uk-UA"/>
        </w:rPr>
        <w:t>1</w:t>
      </w:r>
      <w:r w:rsidR="006212C4">
        <w:rPr>
          <w:color w:val="auto"/>
          <w:sz w:val="28"/>
          <w:szCs w:val="28"/>
          <w:lang w:val="uk-UA"/>
        </w:rPr>
        <w:t>6</w:t>
      </w:r>
      <w:r w:rsidR="00730EFC" w:rsidRPr="002A325A">
        <w:rPr>
          <w:color w:val="auto"/>
          <w:sz w:val="28"/>
          <w:szCs w:val="28"/>
          <w:lang w:val="uk-UA"/>
        </w:rPr>
        <w:t xml:space="preserve"> год. </w:t>
      </w:r>
      <w:r w:rsidR="00C75A44" w:rsidRPr="002A325A">
        <w:rPr>
          <w:color w:val="auto"/>
          <w:sz w:val="28"/>
          <w:szCs w:val="28"/>
          <w:lang w:val="uk-UA"/>
        </w:rPr>
        <w:t xml:space="preserve">- </w:t>
      </w:r>
      <w:r w:rsidR="00730EFC" w:rsidRPr="002A325A">
        <w:rPr>
          <w:color w:val="auto"/>
          <w:sz w:val="28"/>
          <w:szCs w:val="28"/>
          <w:lang w:val="uk-UA"/>
        </w:rPr>
        <w:t>практичних занять,</w:t>
      </w:r>
      <w:r w:rsidR="00C75A44" w:rsidRPr="002A325A">
        <w:rPr>
          <w:color w:val="auto"/>
          <w:sz w:val="28"/>
          <w:szCs w:val="28"/>
          <w:lang w:val="uk-UA"/>
        </w:rPr>
        <w:t xml:space="preserve"> </w:t>
      </w:r>
      <w:r w:rsidR="004861CD" w:rsidRPr="002A325A">
        <w:rPr>
          <w:color w:val="auto"/>
          <w:sz w:val="28"/>
          <w:szCs w:val="28"/>
          <w:lang w:val="uk-UA"/>
        </w:rPr>
        <w:t>15</w:t>
      </w:r>
      <w:r w:rsidR="00F13268" w:rsidRPr="002A325A">
        <w:rPr>
          <w:color w:val="auto"/>
          <w:sz w:val="28"/>
          <w:szCs w:val="28"/>
          <w:lang w:val="uk-UA"/>
        </w:rPr>
        <w:t xml:space="preserve"> год. – індивідуальне навчально-дослідне завдання, </w:t>
      </w:r>
      <w:r w:rsidR="006212C4">
        <w:rPr>
          <w:color w:val="auto"/>
          <w:sz w:val="28"/>
          <w:szCs w:val="28"/>
          <w:lang w:val="uk-UA"/>
        </w:rPr>
        <w:t>89</w:t>
      </w:r>
      <w:r w:rsidR="00C75A44" w:rsidRPr="002A325A">
        <w:rPr>
          <w:color w:val="auto"/>
          <w:sz w:val="28"/>
          <w:szCs w:val="28"/>
          <w:lang w:val="uk-UA"/>
        </w:rPr>
        <w:t xml:space="preserve"> </w:t>
      </w:r>
      <w:r w:rsidR="00730EFC" w:rsidRPr="002A325A">
        <w:rPr>
          <w:color w:val="auto"/>
          <w:sz w:val="28"/>
          <w:szCs w:val="28"/>
          <w:lang w:val="uk-UA"/>
        </w:rPr>
        <w:t xml:space="preserve">год. </w:t>
      </w:r>
      <w:r w:rsidR="00C75A44" w:rsidRPr="002A325A">
        <w:rPr>
          <w:color w:val="auto"/>
          <w:sz w:val="28"/>
          <w:szCs w:val="28"/>
          <w:lang w:val="uk-UA"/>
        </w:rPr>
        <w:t>-</w:t>
      </w:r>
      <w:r w:rsidRPr="002A325A">
        <w:rPr>
          <w:color w:val="auto"/>
          <w:sz w:val="28"/>
          <w:szCs w:val="28"/>
          <w:lang w:val="uk-UA"/>
        </w:rPr>
        <w:t xml:space="preserve"> самостійна робота. </w:t>
      </w:r>
    </w:p>
    <w:p w:rsidR="004640C2" w:rsidRPr="002A325A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>Мова викладання</w:t>
      </w:r>
      <w:r w:rsidRPr="002A325A">
        <w:rPr>
          <w:color w:val="auto"/>
          <w:sz w:val="28"/>
          <w:szCs w:val="28"/>
          <w:lang w:val="uk-UA"/>
        </w:rPr>
        <w:t>: українська</w:t>
      </w:r>
    </w:p>
    <w:p w:rsidR="0033169D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color w:val="auto"/>
          <w:sz w:val="28"/>
          <w:szCs w:val="28"/>
          <w:lang w:val="uk-UA"/>
        </w:rPr>
        <w:t xml:space="preserve"> </w:t>
      </w:r>
    </w:p>
    <w:p w:rsidR="00E27366" w:rsidRPr="00691CB4" w:rsidRDefault="00E27366" w:rsidP="0033169D">
      <w:pPr>
        <w:pStyle w:val="Default"/>
        <w:rPr>
          <w:color w:val="auto"/>
          <w:sz w:val="28"/>
          <w:szCs w:val="28"/>
        </w:rPr>
      </w:pPr>
    </w:p>
    <w:p w:rsidR="00675BEF" w:rsidRPr="00691CB4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691CB4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691CB4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691CB4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691CB4" w:rsidRDefault="00675BEF" w:rsidP="0033169D">
      <w:pPr>
        <w:pStyle w:val="Default"/>
        <w:rPr>
          <w:color w:val="auto"/>
          <w:sz w:val="28"/>
          <w:szCs w:val="28"/>
        </w:rPr>
      </w:pPr>
    </w:p>
    <w:p w:rsidR="00675BEF" w:rsidRPr="00691CB4" w:rsidRDefault="00675BEF" w:rsidP="0033169D">
      <w:pPr>
        <w:pStyle w:val="Default"/>
        <w:rPr>
          <w:color w:val="auto"/>
          <w:sz w:val="28"/>
          <w:szCs w:val="28"/>
        </w:rPr>
      </w:pPr>
    </w:p>
    <w:p w:rsidR="00486BB3" w:rsidRPr="002A325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2A325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2A07F0" w:rsidRPr="002A325A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325A" w:rsidRPr="002A325A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2A325A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325A" w:rsidRPr="002A325A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2A07F0" w:rsidRPr="002A325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2A325A" w:rsidRDefault="00F13268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2A07F0" w:rsidRPr="002A325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2A325A" w:rsidRDefault="00216729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6212C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  <w:r w:rsidR="00B859F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2A325A" w:rsidRDefault="00216729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437E6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</w:t>
            </w:r>
            <w:r w:rsidR="003313D4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індивідуальних завдань (ІНДЗ)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F13268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A3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A31D2" w:rsidP="003A31D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  <w:tr w:rsidR="002A325A" w:rsidRPr="002A325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BE03E3"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325A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2A325A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2A325A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2A325A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445D" w:rsidRPr="002A325A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BB3" w:rsidRPr="002A325A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1C2A7A" w:rsidRPr="002A325A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розміщено в електронному навчальному курсі на сайті Інтернет-підтримки освітнього процесу за посиланням: </w:t>
      </w:r>
      <w:r w:rsidR="008E23F6" w:rsidRPr="008E23F6">
        <w:rPr>
          <w:rFonts w:ascii="Times New Roman" w:hAnsi="Times New Roman" w:cs="Times New Roman"/>
          <w:sz w:val="28"/>
          <w:szCs w:val="28"/>
          <w:lang w:val="uk-UA"/>
        </w:rPr>
        <w:t>https://vo.uu.edu.ua/course/view.php?id=184#section-2</w:t>
      </w:r>
    </w:p>
    <w:p w:rsidR="001C2A7A" w:rsidRPr="002A325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Рекомендована </w:t>
      </w:r>
      <w:r w:rsidR="007C30B6"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2A325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47211C" w:rsidRPr="00DD0B29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B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0B29">
        <w:rPr>
          <w:rFonts w:ascii="Times New Roman" w:hAnsi="Times New Roman" w:cs="Times New Roman"/>
          <w:sz w:val="28"/>
          <w:szCs w:val="28"/>
        </w:rPr>
        <w:t xml:space="preserve">Про </w:t>
      </w:r>
      <w:r w:rsidRPr="00DD0B29">
        <w:rPr>
          <w:rFonts w:ascii="Times New Roman" w:hAnsi="Times New Roman" w:cs="Times New Roman"/>
          <w:sz w:val="28"/>
          <w:szCs w:val="28"/>
          <w:lang w:val="uk-UA"/>
        </w:rPr>
        <w:t xml:space="preserve">страхування. </w:t>
      </w:r>
      <w:r w:rsidRPr="00DD0B29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1996р. </w:t>
      </w:r>
      <w:r w:rsidRPr="00DD0B29">
        <w:rPr>
          <w:rFonts w:ascii="Times New Roman" w:hAnsi="Times New Roman" w:cs="Times New Roman"/>
          <w:sz w:val="28"/>
          <w:szCs w:val="28"/>
          <w:lang w:val="uk-UA"/>
        </w:rPr>
        <w:t>Дата оновлення 03.07.2020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Text" w:history="1">
        <w:r w:rsidRPr="00DD0B29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https://zakon.rada.gov.ua/laws/show/85/96-%D0%B2%D1%80#Text</w:t>
        </w:r>
      </w:hyperlink>
    </w:p>
    <w:p w:rsidR="0047211C" w:rsidRP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3347"/>
          <w:rFonts w:ascii="Times New Roman" w:hAnsi="Times New Roman" w:cs="Times New Roman"/>
          <w:color w:val="000000"/>
          <w:sz w:val="28"/>
          <w:szCs w:val="28"/>
        </w:rPr>
      </w:pPr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2. </w:t>
      </w:r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обов'язкове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страхування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цивільно-правової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відповідальності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власників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наземних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транспортних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засобів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2004р. </w:t>
      </w:r>
      <w:r w:rsidRPr="00DD0B29">
        <w:rPr>
          <w:rFonts w:ascii="Times New Roman" w:hAnsi="Times New Roman" w:cs="Times New Roman"/>
          <w:sz w:val="28"/>
          <w:szCs w:val="28"/>
          <w:lang w:val="uk-UA"/>
        </w:rPr>
        <w:t>Дата оновлення 03.07.2020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Text" w:history="1">
        <w:r w:rsidRPr="00DD0B29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https://zakon.rada.gov.ua/laws/show/1961-15#Text</w:t>
        </w:r>
      </w:hyperlink>
    </w:p>
    <w:p w:rsidR="0047211C" w:rsidRP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3347"/>
          <w:rFonts w:ascii="Times New Roman" w:hAnsi="Times New Roman" w:cs="Times New Roman"/>
          <w:color w:val="000000"/>
          <w:sz w:val="28"/>
          <w:szCs w:val="28"/>
        </w:rPr>
      </w:pP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фінансові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послуги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державне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регулювання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ринків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фінансових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Pr="00DD0B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 Закон України від 12 липня 2001р.</w:t>
      </w:r>
      <w:r w:rsidRPr="00DD0B29">
        <w:rPr>
          <w:rFonts w:ascii="Times New Roman" w:hAnsi="Times New Roman" w:cs="Times New Roman"/>
          <w:sz w:val="28"/>
          <w:szCs w:val="28"/>
          <w:lang w:val="uk-UA"/>
        </w:rPr>
        <w:t xml:space="preserve"> Дата оновлення 03.07.2020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D0B29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Text" w:history="1">
        <w:r w:rsidRPr="00DD0B29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https://zakon.rada.gov.ua/laws/show/2664-14#Text</w:t>
        </w:r>
      </w:hyperlink>
    </w:p>
    <w:p w:rsidR="0047211C" w:rsidRPr="00DD0B29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1 черв. 2017 р. № 2172.</w:t>
      </w:r>
      <w:r>
        <w:rPr>
          <w:rFonts w:ascii="Times New Roman" w:hAnsi="Times New Roman" w:cs="Times New Roman"/>
          <w:sz w:val="28"/>
          <w:szCs w:val="28"/>
          <w:lang w:val="uk-UA"/>
        </w:rPr>
        <w:t>Дата оновлення 07.05.2019.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r w:rsidRPr="00DD0B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0B29">
        <w:rPr>
          <w:rFonts w:ascii="Times New Roman" w:hAnsi="Times New Roman" w:cs="Times New Roman"/>
          <w:sz w:val="28"/>
          <w:szCs w:val="28"/>
        </w:rPr>
        <w:t>: https://zakon.rada.gov.ua/laws/show/z0963-17#Text</w:t>
      </w:r>
    </w:p>
    <w:p w:rsidR="0047211C" w:rsidRPr="00DD0B29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D0B2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січн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>. 2004 р. № 24.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Дата оновлення 19.10.2018</w:t>
      </w:r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r w:rsidRPr="00DD0B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0B29">
        <w:rPr>
          <w:rFonts w:ascii="Times New Roman" w:hAnsi="Times New Roman" w:cs="Times New Roman"/>
          <w:sz w:val="28"/>
          <w:szCs w:val="28"/>
        </w:rPr>
        <w:t>: https://zakon.rada.gov.ua/laws/show/z0198-04#Text</w:t>
      </w:r>
    </w:p>
    <w:p w:rsidR="0047211C" w:rsidRPr="0047211C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D0B2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резервів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B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B29">
        <w:rPr>
          <w:rFonts w:ascii="Times New Roman" w:hAnsi="Times New Roman" w:cs="Times New Roman"/>
          <w:sz w:val="28"/>
          <w:szCs w:val="28"/>
        </w:rPr>
        <w:t xml:space="preserve"> 17 груд. </w:t>
      </w:r>
      <w:r w:rsidRPr="00675BEF">
        <w:rPr>
          <w:rFonts w:ascii="Times New Roman" w:hAnsi="Times New Roman" w:cs="Times New Roman"/>
          <w:sz w:val="28"/>
          <w:szCs w:val="28"/>
        </w:rPr>
        <w:t xml:space="preserve">2004 </w:t>
      </w:r>
      <w:r w:rsidRPr="00DD0B29">
        <w:rPr>
          <w:rFonts w:ascii="Times New Roman" w:hAnsi="Times New Roman" w:cs="Times New Roman"/>
          <w:sz w:val="28"/>
          <w:szCs w:val="28"/>
        </w:rPr>
        <w:t>р</w:t>
      </w:r>
      <w:r w:rsidRPr="00675BEF">
        <w:rPr>
          <w:rFonts w:ascii="Times New Roman" w:hAnsi="Times New Roman" w:cs="Times New Roman"/>
          <w:sz w:val="28"/>
          <w:szCs w:val="28"/>
        </w:rPr>
        <w:t xml:space="preserve">. № 3104. </w:t>
      </w:r>
      <w:r>
        <w:rPr>
          <w:rFonts w:ascii="Times New Roman" w:hAnsi="Times New Roman" w:cs="Times New Roman"/>
          <w:sz w:val="28"/>
          <w:szCs w:val="28"/>
          <w:lang w:val="uk-UA"/>
        </w:rPr>
        <w:t>Дата оновлення</w:t>
      </w:r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28.12.2019 </w:t>
      </w:r>
      <w:r w:rsidRPr="00DD0B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211C">
        <w:rPr>
          <w:rFonts w:ascii="Times New Roman" w:hAnsi="Times New Roman" w:cs="Times New Roman"/>
          <w:sz w:val="28"/>
          <w:szCs w:val="28"/>
        </w:rPr>
        <w:t>: https://zakon.rada.gov.ua/laws/show/z0019-05#Text</w:t>
      </w:r>
    </w:p>
    <w:p w:rsid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Аранчій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 В. І., Остапенко О. М., Остапенко Т. М.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 менеджмент :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D0B29" w:rsidRPr="00DD0B2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DD0B29" w:rsidRPr="00DD0B29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>. Полтава : ПДАА, 2018. 252 с</w:t>
      </w:r>
    </w:p>
    <w:p w:rsidR="0047211C" w:rsidRP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3347"/>
          <w:rFonts w:ascii="Times New Roman" w:hAnsi="Times New Roman" w:cs="Times New Roman"/>
          <w:color w:val="000000"/>
          <w:sz w:val="28"/>
          <w:szCs w:val="28"/>
        </w:rPr>
      </w:pPr>
      <w:r w:rsidRPr="0047211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7211C">
        <w:rPr>
          <w:rFonts w:ascii="Times New Roman" w:hAnsi="Times New Roman" w:cs="Times New Roman"/>
          <w:sz w:val="28"/>
          <w:szCs w:val="28"/>
        </w:rPr>
        <w:t xml:space="preserve">Журавка О. С.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211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7211C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/ О. С. Журавка, А. Г.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Бухтіарова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Пахненко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proofErr w:type="gramStart"/>
      <w:r w:rsidRPr="004721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>, 2020. – 350 с.</w:t>
      </w:r>
    </w:p>
    <w:p w:rsidR="00DD0B29" w:rsidRPr="00DD0B29" w:rsidRDefault="0047211C" w:rsidP="00437E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DD0B29"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D0B29" w:rsidRPr="00DD0B29">
        <w:rPr>
          <w:rFonts w:ascii="Times New Roman" w:hAnsi="Times New Roman" w:cs="Times New Roman"/>
          <w:sz w:val="28"/>
          <w:szCs w:val="28"/>
        </w:rPr>
        <w:t xml:space="preserve"> Плиса В. Й. 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, 2-ге вид,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виправлене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 xml:space="preserve">. – К: </w:t>
      </w:r>
      <w:proofErr w:type="spellStart"/>
      <w:r w:rsidR="00DD0B29" w:rsidRPr="00DD0B29">
        <w:rPr>
          <w:rFonts w:ascii="Times New Roman" w:hAnsi="Times New Roman" w:cs="Times New Roman"/>
          <w:sz w:val="28"/>
          <w:szCs w:val="28"/>
        </w:rPr>
        <w:t>Каравела</w:t>
      </w:r>
      <w:proofErr w:type="spellEnd"/>
      <w:r w:rsidR="00DD0B29" w:rsidRPr="00DD0B29">
        <w:rPr>
          <w:rFonts w:ascii="Times New Roman" w:hAnsi="Times New Roman" w:cs="Times New Roman"/>
          <w:sz w:val="28"/>
          <w:szCs w:val="28"/>
        </w:rPr>
        <w:t>, 2019. – 512 с.</w:t>
      </w:r>
    </w:p>
    <w:p w:rsidR="00E12848" w:rsidRPr="00DD0B29" w:rsidRDefault="0047211C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E12848" w:rsidRPr="00DD0B29">
        <w:rPr>
          <w:rStyle w:val="3347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12848" w:rsidRPr="00DD0B29">
        <w:rPr>
          <w:rFonts w:ascii="Times New Roman" w:hAnsi="Times New Roman" w:cs="Times New Roman"/>
          <w:sz w:val="28"/>
          <w:szCs w:val="28"/>
        </w:rPr>
        <w:t xml:space="preserve"> Терещенко Т. Є.,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Л. О.,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Пономарьова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О. Б.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(у схемах,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коментарях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) :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12848" w:rsidRPr="00DD0B2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12848" w:rsidRPr="00DD0B29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proofErr w:type="gramStart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митної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2848" w:rsidRPr="00DD0B29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E12848" w:rsidRPr="00DD0B29">
        <w:rPr>
          <w:rFonts w:ascii="Times New Roman" w:hAnsi="Times New Roman" w:cs="Times New Roman"/>
          <w:sz w:val="28"/>
          <w:szCs w:val="28"/>
        </w:rPr>
        <w:t xml:space="preserve">, 2020. </w:t>
      </w:r>
      <w:r w:rsidR="00E12848" w:rsidRPr="00DD0B29">
        <w:rPr>
          <w:rFonts w:ascii="Times New Roman" w:hAnsi="Times New Roman" w:cs="Times New Roman"/>
          <w:sz w:val="28"/>
          <w:szCs w:val="28"/>
        </w:rPr>
        <w:sym w:font="Symbol" w:char="F02D"/>
      </w:r>
      <w:r w:rsidR="00E12848" w:rsidRPr="00DD0B29">
        <w:rPr>
          <w:rFonts w:ascii="Times New Roman" w:hAnsi="Times New Roman" w:cs="Times New Roman"/>
          <w:sz w:val="28"/>
          <w:szCs w:val="28"/>
        </w:rPr>
        <w:t xml:space="preserve"> 221 </w:t>
      </w:r>
      <w:proofErr w:type="gramStart"/>
      <w:r w:rsidR="00E12848" w:rsidRPr="00DD0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2848" w:rsidRPr="00DD0B29">
        <w:rPr>
          <w:rFonts w:ascii="Times New Roman" w:hAnsi="Times New Roman" w:cs="Times New Roman"/>
          <w:sz w:val="28"/>
          <w:szCs w:val="28"/>
        </w:rPr>
        <w:t>.</w:t>
      </w:r>
    </w:p>
    <w:p w:rsidR="00A16B6F" w:rsidRPr="0047211C" w:rsidRDefault="00A16B6F" w:rsidP="008218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211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A16B6F" w:rsidRPr="0047211C" w:rsidRDefault="00A16B6F" w:rsidP="008218D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Конспект лекцій з дисципліни «</w:t>
      </w:r>
      <w:r w:rsidR="0047211C"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Страхування</w:t>
      </w:r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r w:rsidR="0047211C"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С.І.</w:t>
      </w:r>
      <w:proofErr w:type="spellStart"/>
      <w:r w:rsidR="0047211C"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Дробязко</w:t>
      </w:r>
      <w:proofErr w:type="spellEnd"/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/ – К.: У</w:t>
      </w:r>
      <w:r w:rsidR="00BE6E3F"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>ніверситет «Україна», 2019. – 90</w:t>
      </w:r>
      <w:r w:rsidRPr="004721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47211C" w:rsidRPr="0047211C" w:rsidRDefault="0047211C" w:rsidP="0047211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21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Конспет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 xml:space="preserve"> лекцій Страхування / 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 xml:space="preserve">.  Г. М. 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Рябенко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 xml:space="preserve">, Н. Є. 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Зінгаєва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>./ – Миколаїв : МНАУ, 2017. – 77 с.</w:t>
      </w:r>
    </w:p>
    <w:p w:rsidR="0047211C" w:rsidRPr="0047211C" w:rsidRDefault="0047211C" w:rsidP="0047211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211C">
        <w:rPr>
          <w:rFonts w:ascii="Times New Roman" w:hAnsi="Times New Roman" w:cs="Times New Roman"/>
          <w:sz w:val="28"/>
          <w:szCs w:val="28"/>
          <w:lang w:val="uk-UA"/>
        </w:rPr>
        <w:t>Конспект лекцій з дисципліни «Страхування» для здобувачів вищої освіти за освітнім ступенем бакалавр зі спеціальності 072 «Фінанси, банківська справа та страхування» денної та заочної форм навчання /</w:t>
      </w:r>
      <w:proofErr w:type="spellStart"/>
      <w:r w:rsidRPr="0047211C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47211C">
        <w:rPr>
          <w:rFonts w:ascii="Times New Roman" w:hAnsi="Times New Roman" w:cs="Times New Roman"/>
          <w:sz w:val="28"/>
          <w:szCs w:val="28"/>
          <w:lang w:val="uk-UA"/>
        </w:rPr>
        <w:t>: В.Г. Бабенко-Левада/ - Запоріжжя: НУ «ЗП», 2019. – 47 с.</w:t>
      </w:r>
    </w:p>
    <w:p w:rsidR="0047211C" w:rsidRPr="0047211C" w:rsidRDefault="0047211C" w:rsidP="0047211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211C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до практичних занять з дисципліни «Страхування» для здобувачів вищої освіти першого (бакалаврського) рівня зі спеціальності 072 Фінанси, банківська справа та страхування.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2 /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Золотарьова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 xml:space="preserve"> О.В. – </w:t>
      </w:r>
      <w:proofErr w:type="spellStart"/>
      <w:r w:rsidRPr="0047211C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Pr="0047211C">
        <w:rPr>
          <w:rFonts w:ascii="Times New Roman" w:hAnsi="Times New Roman" w:cs="Times New Roman"/>
          <w:sz w:val="28"/>
          <w:szCs w:val="28"/>
        </w:rPr>
        <w:t>: ДДТУ, 2019 р. - 78 с.</w:t>
      </w:r>
    </w:p>
    <w:p w:rsidR="0047211C" w:rsidRDefault="0047211C" w:rsidP="001C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8" w:history="1">
        <w:r w:rsidRPr="002A325A">
          <w:rPr>
            <w:rStyle w:val="ad"/>
            <w:rFonts w:ascii="Times New Roman" w:hAnsi="Times New Roman"/>
            <w:color w:val="auto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2A325A">
        <w:rPr>
          <w:rStyle w:val="ad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E5637" w:rsidRDefault="007E5637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p w:rsidR="00E27366" w:rsidRPr="002A325A" w:rsidRDefault="00E27366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2A325A" w:rsidRPr="002A325A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1C2A7A" w:rsidP="00E04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Допуск до </w:t>
            </w:r>
            <w:r w:rsidR="00E041D4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  <w:r w:rsidR="007C766F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2A325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2A325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2A325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2A325A" w:rsidRPr="006212C4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="0061748C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2A325A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E041D4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Заліков</w:t>
            </w:r>
            <w:r w:rsidR="001C2A7A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2A325A" w:rsidRDefault="00E27366" w:rsidP="00E041D4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7C766F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E041D4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завдання. Максимальна оцінка</w:t>
            </w:r>
            <w:r w:rsidR="007D4775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3C0C79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7D4775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40 балів.</w:t>
            </w:r>
          </w:p>
        </w:tc>
      </w:tr>
      <w:tr w:rsidR="002A325A" w:rsidRPr="006212C4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2A325A" w:rsidRDefault="001C2A7A" w:rsidP="003C0C7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3C0C79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3E26" w:rsidRPr="0047211C" w:rsidRDefault="001C2A7A" w:rsidP="00B33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C635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7211C" w:rsidRDefault="0047211C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Дробязко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Світлана Ігорівна</w:t>
      </w:r>
      <w:r w:rsidR="00C6352B">
        <w:rPr>
          <w:rFonts w:ascii="Times New Roman" w:eastAsia="Calibri" w:hAnsi="Times New Roman" w:cs="Times New Roman"/>
          <w:sz w:val="28"/>
          <w:szCs w:val="28"/>
        </w:rPr>
        <w:t>,</w:t>
      </w:r>
      <w:r w:rsidR="00C6352B" w:rsidRPr="00374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доктор економічних наук, </w:t>
      </w:r>
    </w:p>
    <w:p w:rsidR="00D276C5" w:rsidRPr="00D276C5" w:rsidRDefault="0047211C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професор кафедри </w:t>
      </w:r>
      <w:r w:rsidR="00D276C5">
        <w:rPr>
          <w:rFonts w:ascii="Times New Roman" w:eastAsia="Calibri" w:hAnsi="Times New Roman" w:cs="Times New Roman"/>
          <w:sz w:val="28"/>
          <w:szCs w:val="28"/>
          <w:lang w:val="uk-UA"/>
        </w:rPr>
        <w:t>фінансів та обліку</w:t>
      </w:r>
    </w:p>
    <w:p w:rsidR="008E23F6" w:rsidRDefault="00C6352B" w:rsidP="00C6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6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76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276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76C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276C5" w:rsidRPr="00D27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3F6" w:rsidRPr="008E23F6">
        <w:rPr>
          <w:rFonts w:ascii="Times New Roman" w:hAnsi="Times New Roman" w:cs="Times New Roman"/>
          <w:sz w:val="28"/>
          <w:szCs w:val="28"/>
          <w:lang w:val="uk-UA"/>
        </w:rPr>
        <w:t>drobyazko.s.i@gmail.com</w:t>
      </w:r>
    </w:p>
    <w:p w:rsidR="00C6352B" w:rsidRPr="00D276C5" w:rsidRDefault="00C6352B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Тел</w:t>
      </w:r>
      <w:r w:rsidRPr="00675BEF">
        <w:rPr>
          <w:rFonts w:ascii="Times New Roman" w:hAnsi="Times New Roman" w:cs="Times New Roman"/>
          <w:b/>
          <w:sz w:val="28"/>
          <w:szCs w:val="28"/>
        </w:rPr>
        <w:t>.:</w:t>
      </w:r>
      <w:r w:rsidRPr="00675BEF">
        <w:rPr>
          <w:rFonts w:ascii="Times New Roman" w:hAnsi="Times New Roman" w:cs="Times New Roman"/>
          <w:sz w:val="28"/>
          <w:szCs w:val="28"/>
        </w:rPr>
        <w:t xml:space="preserve"> +3</w:t>
      </w:r>
      <w:r w:rsidR="00D276C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23F6">
        <w:rPr>
          <w:rFonts w:ascii="Times New Roman" w:hAnsi="Times New Roman" w:cs="Times New Roman"/>
          <w:sz w:val="28"/>
          <w:szCs w:val="28"/>
          <w:lang w:val="uk-UA"/>
        </w:rPr>
        <w:t>0688517552</w:t>
      </w:r>
    </w:p>
    <w:p w:rsidR="001C2A7A" w:rsidRPr="002A325A" w:rsidRDefault="001C2A7A" w:rsidP="00B33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F3007E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6C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D276C5">
        <w:rPr>
          <w:rFonts w:ascii="Times New Roman" w:hAnsi="Times New Roman" w:cs="Times New Roman"/>
          <w:sz w:val="28"/>
          <w:szCs w:val="28"/>
          <w:lang w:val="uk-UA"/>
        </w:rPr>
        <w:t>. 405</w:t>
      </w: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47211C">
        <w:rPr>
          <w:rFonts w:ascii="Times New Roman" w:hAnsi="Times New Roman" w:cs="Times New Roman"/>
          <w:sz w:val="28"/>
          <w:szCs w:val="28"/>
          <w:lang w:val="uk-UA"/>
        </w:rPr>
        <w:t>фінансів та обліку</w:t>
      </w:r>
    </w:p>
    <w:p w:rsidR="001C2A7A" w:rsidRPr="002A325A" w:rsidRDefault="00D276C5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25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47754C" w:rsidRPr="002A325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2A325A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3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</w:t>
      </w: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1C2A7A" w:rsidRPr="002A325A" w:rsidRDefault="00D276C5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Фінансів та обліку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НЕЧИПОРУК</w:t>
      </w: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2A325A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730EFC" w:rsidRPr="002A325A" w:rsidRDefault="00730EFC" w:rsidP="0033169D">
      <w:pPr>
        <w:pStyle w:val="Default"/>
        <w:rPr>
          <w:color w:val="auto"/>
          <w:sz w:val="28"/>
          <w:szCs w:val="28"/>
          <w:lang w:val="uk-UA"/>
        </w:rPr>
      </w:pPr>
    </w:p>
    <w:sectPr w:rsidR="00730EFC" w:rsidRPr="002A325A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4F7"/>
    <w:multiLevelType w:val="hybridMultilevel"/>
    <w:tmpl w:val="66DEF0EC"/>
    <w:lvl w:ilvl="0" w:tplc="0419000F">
      <w:start w:val="1"/>
      <w:numFmt w:val="decimal"/>
      <w:lvlText w:val="%1."/>
      <w:lvlJc w:val="left"/>
      <w:pPr>
        <w:tabs>
          <w:tab w:val="num" w:pos="1164"/>
        </w:tabs>
        <w:ind w:left="-47"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EE1"/>
    <w:multiLevelType w:val="hybridMultilevel"/>
    <w:tmpl w:val="9FB69662"/>
    <w:lvl w:ilvl="0" w:tplc="0419000F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790442E"/>
    <w:multiLevelType w:val="hybridMultilevel"/>
    <w:tmpl w:val="C3C4D4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896347"/>
    <w:multiLevelType w:val="hybridMultilevel"/>
    <w:tmpl w:val="58AE6182"/>
    <w:lvl w:ilvl="0" w:tplc="586A653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722B61"/>
    <w:multiLevelType w:val="hybridMultilevel"/>
    <w:tmpl w:val="EAAE966E"/>
    <w:lvl w:ilvl="0" w:tplc="FFFFFFFF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4069D"/>
    <w:multiLevelType w:val="hybridMultilevel"/>
    <w:tmpl w:val="D3563020"/>
    <w:lvl w:ilvl="0" w:tplc="0419000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667D11"/>
    <w:multiLevelType w:val="singleLevel"/>
    <w:tmpl w:val="A052DE8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3B630325"/>
    <w:multiLevelType w:val="hybridMultilevel"/>
    <w:tmpl w:val="0A8E2C70"/>
    <w:lvl w:ilvl="0" w:tplc="3C2CC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A0A7B"/>
    <w:multiLevelType w:val="hybridMultilevel"/>
    <w:tmpl w:val="89D64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7E1FF6"/>
    <w:multiLevelType w:val="hybridMultilevel"/>
    <w:tmpl w:val="CDD6353C"/>
    <w:lvl w:ilvl="0" w:tplc="FFFFFFFF">
      <w:start w:val="1"/>
      <w:numFmt w:val="bullet"/>
      <w:lvlText w:val=""/>
      <w:lvlJc w:val="left"/>
      <w:pPr>
        <w:tabs>
          <w:tab w:val="num" w:pos="1164"/>
        </w:tabs>
        <w:ind w:left="-47"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4205AC2"/>
    <w:multiLevelType w:val="hybridMultilevel"/>
    <w:tmpl w:val="2A4879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672E31"/>
    <w:multiLevelType w:val="hybridMultilevel"/>
    <w:tmpl w:val="27704604"/>
    <w:lvl w:ilvl="0" w:tplc="697C4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E4F1D0A"/>
    <w:multiLevelType w:val="hybridMultilevel"/>
    <w:tmpl w:val="87C8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1A09"/>
    <w:multiLevelType w:val="hybridMultilevel"/>
    <w:tmpl w:val="16F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57A5F"/>
    <w:rsid w:val="0008040C"/>
    <w:rsid w:val="00082C75"/>
    <w:rsid w:val="000867E9"/>
    <w:rsid w:val="00093160"/>
    <w:rsid w:val="000A5BC1"/>
    <w:rsid w:val="000C53B6"/>
    <w:rsid w:val="000E1FF5"/>
    <w:rsid w:val="000E5930"/>
    <w:rsid w:val="000F39A1"/>
    <w:rsid w:val="00103DC0"/>
    <w:rsid w:val="001132A1"/>
    <w:rsid w:val="0013583D"/>
    <w:rsid w:val="00147686"/>
    <w:rsid w:val="0015143A"/>
    <w:rsid w:val="0015316B"/>
    <w:rsid w:val="001632C2"/>
    <w:rsid w:val="00175DEE"/>
    <w:rsid w:val="001C2A7A"/>
    <w:rsid w:val="001E733C"/>
    <w:rsid w:val="001F3938"/>
    <w:rsid w:val="002026FC"/>
    <w:rsid w:val="00216729"/>
    <w:rsid w:val="00245349"/>
    <w:rsid w:val="00247463"/>
    <w:rsid w:val="0026364D"/>
    <w:rsid w:val="0028149D"/>
    <w:rsid w:val="002847DD"/>
    <w:rsid w:val="002A07F0"/>
    <w:rsid w:val="002A325A"/>
    <w:rsid w:val="002F304C"/>
    <w:rsid w:val="002F30AE"/>
    <w:rsid w:val="003030E2"/>
    <w:rsid w:val="00315E76"/>
    <w:rsid w:val="003313D4"/>
    <w:rsid w:val="0033169D"/>
    <w:rsid w:val="00336B9E"/>
    <w:rsid w:val="00347EC1"/>
    <w:rsid w:val="00360F24"/>
    <w:rsid w:val="003642BF"/>
    <w:rsid w:val="0036445D"/>
    <w:rsid w:val="003764F4"/>
    <w:rsid w:val="003964D5"/>
    <w:rsid w:val="003A0C4C"/>
    <w:rsid w:val="003A31D2"/>
    <w:rsid w:val="003B192F"/>
    <w:rsid w:val="003C029C"/>
    <w:rsid w:val="003C0C79"/>
    <w:rsid w:val="003C56B7"/>
    <w:rsid w:val="003D5F00"/>
    <w:rsid w:val="003E579B"/>
    <w:rsid w:val="003F3546"/>
    <w:rsid w:val="003F374F"/>
    <w:rsid w:val="004061A3"/>
    <w:rsid w:val="00417423"/>
    <w:rsid w:val="004243E1"/>
    <w:rsid w:val="0043304E"/>
    <w:rsid w:val="00437E6A"/>
    <w:rsid w:val="00445494"/>
    <w:rsid w:val="004640C2"/>
    <w:rsid w:val="0047211C"/>
    <w:rsid w:val="0047754C"/>
    <w:rsid w:val="00482E0A"/>
    <w:rsid w:val="004861CD"/>
    <w:rsid w:val="00486BB3"/>
    <w:rsid w:val="004A1464"/>
    <w:rsid w:val="004A7170"/>
    <w:rsid w:val="004C49C3"/>
    <w:rsid w:val="004C7DF6"/>
    <w:rsid w:val="004D0D13"/>
    <w:rsid w:val="004D2D21"/>
    <w:rsid w:val="004E19EB"/>
    <w:rsid w:val="004F7F99"/>
    <w:rsid w:val="00513C3B"/>
    <w:rsid w:val="00525C72"/>
    <w:rsid w:val="00527A37"/>
    <w:rsid w:val="005351C7"/>
    <w:rsid w:val="0057213C"/>
    <w:rsid w:val="00573DE0"/>
    <w:rsid w:val="005B66A7"/>
    <w:rsid w:val="005C5624"/>
    <w:rsid w:val="005D636F"/>
    <w:rsid w:val="005E1A52"/>
    <w:rsid w:val="005E6A1D"/>
    <w:rsid w:val="00604BFF"/>
    <w:rsid w:val="00604C5C"/>
    <w:rsid w:val="00607C3F"/>
    <w:rsid w:val="0061748C"/>
    <w:rsid w:val="0062080E"/>
    <w:rsid w:val="006212C4"/>
    <w:rsid w:val="00632395"/>
    <w:rsid w:val="00641F51"/>
    <w:rsid w:val="00675BEF"/>
    <w:rsid w:val="00682282"/>
    <w:rsid w:val="006822AC"/>
    <w:rsid w:val="006831AA"/>
    <w:rsid w:val="00691CB4"/>
    <w:rsid w:val="00692429"/>
    <w:rsid w:val="00696157"/>
    <w:rsid w:val="00702464"/>
    <w:rsid w:val="007156DF"/>
    <w:rsid w:val="00720C12"/>
    <w:rsid w:val="00730EFC"/>
    <w:rsid w:val="00734BFF"/>
    <w:rsid w:val="0075764D"/>
    <w:rsid w:val="00770681"/>
    <w:rsid w:val="00775F49"/>
    <w:rsid w:val="007823C2"/>
    <w:rsid w:val="007A1AFD"/>
    <w:rsid w:val="007A73C3"/>
    <w:rsid w:val="007C30B6"/>
    <w:rsid w:val="007C766F"/>
    <w:rsid w:val="007D4775"/>
    <w:rsid w:val="007E5637"/>
    <w:rsid w:val="007E5BC2"/>
    <w:rsid w:val="008218D3"/>
    <w:rsid w:val="00883AA3"/>
    <w:rsid w:val="00892982"/>
    <w:rsid w:val="008A0C47"/>
    <w:rsid w:val="008A1F30"/>
    <w:rsid w:val="008B292E"/>
    <w:rsid w:val="008B3817"/>
    <w:rsid w:val="008B6414"/>
    <w:rsid w:val="008D24C3"/>
    <w:rsid w:val="008E23F6"/>
    <w:rsid w:val="008E308F"/>
    <w:rsid w:val="008E762B"/>
    <w:rsid w:val="008F0C54"/>
    <w:rsid w:val="00901074"/>
    <w:rsid w:val="009045EE"/>
    <w:rsid w:val="0092612E"/>
    <w:rsid w:val="00932CAB"/>
    <w:rsid w:val="00955C32"/>
    <w:rsid w:val="009619B9"/>
    <w:rsid w:val="0096284F"/>
    <w:rsid w:val="00967027"/>
    <w:rsid w:val="00987F6B"/>
    <w:rsid w:val="009B69FC"/>
    <w:rsid w:val="009B7CB5"/>
    <w:rsid w:val="009C214A"/>
    <w:rsid w:val="00A16B6F"/>
    <w:rsid w:val="00A302A8"/>
    <w:rsid w:val="00A358B1"/>
    <w:rsid w:val="00A664BC"/>
    <w:rsid w:val="00A77242"/>
    <w:rsid w:val="00A90340"/>
    <w:rsid w:val="00AB1C88"/>
    <w:rsid w:val="00AB522A"/>
    <w:rsid w:val="00AB6A74"/>
    <w:rsid w:val="00AC58FF"/>
    <w:rsid w:val="00AE7F41"/>
    <w:rsid w:val="00AE7F5D"/>
    <w:rsid w:val="00AF1216"/>
    <w:rsid w:val="00AF7175"/>
    <w:rsid w:val="00B03352"/>
    <w:rsid w:val="00B33E26"/>
    <w:rsid w:val="00B3493C"/>
    <w:rsid w:val="00B52C33"/>
    <w:rsid w:val="00B859F3"/>
    <w:rsid w:val="00B93ED3"/>
    <w:rsid w:val="00B94391"/>
    <w:rsid w:val="00BD4567"/>
    <w:rsid w:val="00BD5E7A"/>
    <w:rsid w:val="00BD60BD"/>
    <w:rsid w:val="00BE03E3"/>
    <w:rsid w:val="00BE5B30"/>
    <w:rsid w:val="00BE6E3F"/>
    <w:rsid w:val="00C14E53"/>
    <w:rsid w:val="00C6352B"/>
    <w:rsid w:val="00C6594C"/>
    <w:rsid w:val="00C66785"/>
    <w:rsid w:val="00C67AA8"/>
    <w:rsid w:val="00C73A1C"/>
    <w:rsid w:val="00C75A44"/>
    <w:rsid w:val="00C87176"/>
    <w:rsid w:val="00CB0714"/>
    <w:rsid w:val="00D10ACE"/>
    <w:rsid w:val="00D245E4"/>
    <w:rsid w:val="00D276C5"/>
    <w:rsid w:val="00D33B6E"/>
    <w:rsid w:val="00D36133"/>
    <w:rsid w:val="00D44A29"/>
    <w:rsid w:val="00D44A64"/>
    <w:rsid w:val="00D53AEE"/>
    <w:rsid w:val="00D659EA"/>
    <w:rsid w:val="00D6701F"/>
    <w:rsid w:val="00DB10D5"/>
    <w:rsid w:val="00DC1FAE"/>
    <w:rsid w:val="00DD0B29"/>
    <w:rsid w:val="00DD48A4"/>
    <w:rsid w:val="00E041D4"/>
    <w:rsid w:val="00E12848"/>
    <w:rsid w:val="00E15569"/>
    <w:rsid w:val="00E2121A"/>
    <w:rsid w:val="00E27366"/>
    <w:rsid w:val="00E36046"/>
    <w:rsid w:val="00E366C1"/>
    <w:rsid w:val="00E560A2"/>
    <w:rsid w:val="00E90C68"/>
    <w:rsid w:val="00E950D5"/>
    <w:rsid w:val="00E956A6"/>
    <w:rsid w:val="00EB10A9"/>
    <w:rsid w:val="00EB3E6C"/>
    <w:rsid w:val="00EB5253"/>
    <w:rsid w:val="00EC5FCA"/>
    <w:rsid w:val="00EC6AB1"/>
    <w:rsid w:val="00EE319E"/>
    <w:rsid w:val="00EF2D7F"/>
    <w:rsid w:val="00EF34B0"/>
    <w:rsid w:val="00EF5436"/>
    <w:rsid w:val="00F04FDA"/>
    <w:rsid w:val="00F13268"/>
    <w:rsid w:val="00F3007E"/>
    <w:rsid w:val="00F314AB"/>
    <w:rsid w:val="00F44C6B"/>
    <w:rsid w:val="00F627AD"/>
    <w:rsid w:val="00F719FD"/>
    <w:rsid w:val="00F80041"/>
    <w:rsid w:val="00FC2D1B"/>
    <w:rsid w:val="00FD3899"/>
    <w:rsid w:val="00FD5E58"/>
    <w:rsid w:val="00FE3398"/>
    <w:rsid w:val="00FF31F1"/>
    <w:rsid w:val="00FF397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  <w:style w:type="paragraph" w:customStyle="1" w:styleId="af0">
    <w:name w:val="Основной текст (по центру)"/>
    <w:basedOn w:val="aa"/>
    <w:rsid w:val="00D27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47">
    <w:name w:val="3347"/>
    <w:aliases w:val="baiaagaaboqcaaadcwqaaavscqaaaaaaaaaaaaaaaaaaaaaaaaaaaaaaaaaaaaaaaaaaaaaaaaaaaaaaaaaaaaaaaaaaaaaaaaaaaaaaaaaaaaaaaaaaaaaaaaaaaaaaaaaaaaaaaaaaaaaaaaaaaaaaaaaaaaaaaaaaaaaaaaaaaaaaaaaaaaaaaaaaaaaaaaaaaaaaaaaaaaaaaaaaaaaaaaaaaaaaaaaaaaaa"/>
    <w:rsid w:val="0082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normativni_documenti/academic_dobrochesnist/Code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64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61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85/96-%D0%B2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5</cp:revision>
  <dcterms:created xsi:type="dcterms:W3CDTF">2022-04-11T11:37:00Z</dcterms:created>
  <dcterms:modified xsi:type="dcterms:W3CDTF">2022-04-27T07:12:00Z</dcterms:modified>
</cp:coreProperties>
</file>