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E" w:rsidRPr="00031D2E" w:rsidRDefault="00031D2E" w:rsidP="00031D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D2E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використння вебресурсів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Сучасне життя досить складно уявити без використання комп’ютерної техніки. В умовах зростання кількості нової інформації традиційний навчально-методичний супровід не може повністю забезпечити виконання таких освітніх завдань, як оновлення змісту освіти, активізації процесу розвитку творчих здібностей, умінь та навичок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студентів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Сучасні комп'ютерні технології дають можливість учителю в процесі підготовки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лекції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якісно поліпшити викладання матеріалу.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sz w:val="28"/>
          <w:szCs w:val="28"/>
        </w:rPr>
        <w:t>Викладання суспільних дисциплін повинно відповідати вимогам часу, базуватися на останніх досягненнях і прогресивних здобутках науки та техніки: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технологія Веб 2.0-Інтернет-технологія другого покоління (блоги, сайти, мікроблоги, WikiWiki, сервіси для зберігання фото, відео, презентацій, соціально-пошукові системи, контактні сервіси);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технологія Веб 3.0 (мобільні технології) хмарні технології, геосервіси, Smart технології, Second Life тощо.</w:t>
      </w:r>
    </w:p>
    <w:p w:rsidR="00031D2E" w:rsidRPr="00031D2E" w:rsidRDefault="00031D2E" w:rsidP="00031D2E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За методичним призначенням інформаційно-комунікаційні технології можна класифікувати: 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навчальні (повідомляють знання, формують уміння, навички навчальної або практичної діяльності);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тренажери (призначені для відпрацювання умінь і навичок, повторення та закріплення матеріалу);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інформаційно-пошукові (формують знання і навички по систематизації інформації);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демонстраційні (візуалізують об’єкти, явища, процеси з метою їх дослідження та вивчення);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імітаційні (подають відповідний аспект реальності для вивчення його структурних або функціональних характеристик);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навчально-ігрові (призначені для створення навчальних ситуацій, в яких діяльність учнів реалізується в ігровій формі).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залучати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студентів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до створення електронних видань тому, що це: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прояв самостійної креативної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виховує звичку та потребу в постійному використанні у навчанні комп`ютерних технологій; 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під час редагування та форматування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неодноразово звертається до навчального матеріалу, що сприяє міцному засвоєнню предмета. 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Ознайомлення, порівняння та аналіз робіт учасників спільної діяльності стимулює індивідуальну самостійну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</w:rPr>
        <w:t>роботу .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31D2E">
        <w:rPr>
          <w:rFonts w:ascii="Times New Roman" w:hAnsi="Times New Roman" w:cs="Times New Roman"/>
          <w:sz w:val="28"/>
          <w:szCs w:val="28"/>
        </w:rPr>
        <w:t xml:space="preserve">дноразове звернення до </w:t>
      </w:r>
      <w:r w:rsidRPr="00031D2E">
        <w:rPr>
          <w:rFonts w:ascii="Times New Roman" w:hAnsi="Times New Roman" w:cs="Times New Roman"/>
          <w:sz w:val="28"/>
          <w:szCs w:val="28"/>
        </w:rPr>
        <w:lastRenderedPageBreak/>
        <w:t>невеликих обсягів інформації ефективніше, ніж одноразове повторення більшого за обсягом навчального матеріалу.</w:t>
      </w:r>
    </w:p>
    <w:p w:rsidR="00031D2E" w:rsidRPr="00031D2E" w:rsidRDefault="00031D2E" w:rsidP="00031D2E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31D2E">
        <w:rPr>
          <w:rFonts w:ascii="Times New Roman" w:hAnsi="Times New Roman" w:cs="Times New Roman"/>
          <w:sz w:val="28"/>
          <w:szCs w:val="28"/>
        </w:rPr>
        <w:t>икористання електрон</w:t>
      </w:r>
      <w:r>
        <w:rPr>
          <w:rFonts w:ascii="Times New Roman" w:hAnsi="Times New Roman" w:cs="Times New Roman"/>
          <w:sz w:val="28"/>
          <w:szCs w:val="28"/>
        </w:rPr>
        <w:t xml:space="preserve">них підручників чи посібників </w:t>
      </w:r>
      <w:r w:rsidRPr="00031D2E">
        <w:rPr>
          <w:rFonts w:ascii="Times New Roman" w:hAnsi="Times New Roman" w:cs="Times New Roman"/>
          <w:sz w:val="28"/>
          <w:szCs w:val="28"/>
        </w:rPr>
        <w:t xml:space="preserve">дають можливість відтворювати візуальну та аудіо інформацію (кінохроніку, фрагменти художніх та документальних фільмів, діаграми, схеми та карти, інтерактивні таблиці тощо). 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Отже, такий навчальний матеріал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сприйматиме з більшим зацікавленням, що активізуватиме навчальний процес, заохочуватиме до поглиблення знань і набуття нових умінь. Використання електронного довідника дозволяє користувачу у будь-який час оперативно одержати необхідну довідкову інформацію в компактній формі.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Використання педагогічних програмових засобів в контексті з традиційним підручником забезпечує диференційований підхід у навчанні, реалізацію інтерактивного підходу, підвищує пізнавальну акти</w:t>
      </w:r>
      <w:r>
        <w:rPr>
          <w:rFonts w:ascii="Times New Roman" w:hAnsi="Times New Roman" w:cs="Times New Roman"/>
          <w:color w:val="000000"/>
          <w:sz w:val="28"/>
          <w:szCs w:val="28"/>
        </w:rPr>
        <w:t>вність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>, здійснює контроль завдяки тестуванню та самоконтролю.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Однією з найбільш ефективних моделей використання Інтернету в начальному процесі є web-квест. Технологія web-квесту спрямовує роботу вчителів на впровадження нових наукових ідей, методик, технологій, формування практичного досвіду щодо роботи з обдарованими дітьми. Технологія web-квест – цілеспрямований пошук; ситуація з чіткими ролями всіх учасників; пошукова діяльність, спрямована по одному або декількох маршрутах, ведуча до певних цілей; проблемне завдання, для виконання якого використовуються інформаційні ресурси Інтернету. Веб-квест дозволяє не тільки підвищити мотивацію до вивчення навчальної дисципліни, а й вчить </w:t>
      </w:r>
      <w:proofErr w:type="gramStart"/>
      <w:r w:rsidRPr="00031D2E">
        <w:rPr>
          <w:rFonts w:ascii="Times New Roman" w:hAnsi="Times New Roman" w:cs="Times New Roman"/>
          <w:sz w:val="28"/>
          <w:szCs w:val="28"/>
          <w:lang w:eastAsia="ar-SA"/>
        </w:rPr>
        <w:t>розв’язувати  проблемні</w:t>
      </w:r>
      <w:proofErr w:type="gramEnd"/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 ситуації й працювати в команді для досягнення спільної мети.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Актуальними на сьогодні є електронні освітні сервіси застосування яких у навчальній та позакласній роботі сприяє підвищенню ефективності засвоєння навчального матеріалу, ініціативності та вмотивованості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студентів</w:t>
      </w:r>
      <w:r w:rsidRPr="00031D2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1D2E" w:rsidRPr="00031D2E" w:rsidRDefault="00031D2E" w:rsidP="00031D2E">
      <w:pPr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Ресурс зі с</w:t>
      </w:r>
      <w:r w:rsidRPr="00031D2E">
        <w:rPr>
          <w:rFonts w:ascii="Times New Roman" w:hAnsi="Times New Roman" w:cs="Times New Roman"/>
          <w:sz w:val="28"/>
          <w:szCs w:val="28"/>
        </w:rPr>
        <w:t xml:space="preserve">творення інтерактивних зображень ThingLink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дозволяє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створювати мультимедійні плакати</w:t>
      </w:r>
      <w:r w:rsidRPr="00031D2E">
        <w:rPr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«розмовляючи картинки</w:t>
      </w:r>
      <w:r w:rsidRPr="00031D2E">
        <w:rPr>
          <w:rFonts w:ascii="Times New Roman" w:hAnsi="Times New Roman" w:cs="Times New Roman"/>
          <w:sz w:val="28"/>
          <w:szCs w:val="28"/>
        </w:rPr>
        <w:t xml:space="preserve">»,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на які наносяться маркери.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наведенні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них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з’являється мультимедійний контент.</w:t>
      </w:r>
    </w:p>
    <w:p w:rsidR="00031D2E" w:rsidRPr="00031D2E" w:rsidRDefault="00031D2E" w:rsidP="00031D2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За допомогою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сервісу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Thinglink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можна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створювати різні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освітні матеріали</w:t>
      </w:r>
      <w:r w:rsidRPr="00031D2E">
        <w:rPr>
          <w:rFonts w:ascii="Times New Roman" w:hAnsi="Times New Roman" w:cs="Times New Roman"/>
          <w:sz w:val="28"/>
          <w:szCs w:val="28"/>
        </w:rPr>
        <w:t>,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наприклад</w:t>
      </w:r>
      <w:r w:rsidRPr="00031D2E">
        <w:rPr>
          <w:rFonts w:ascii="Times New Roman" w:hAnsi="Times New Roman" w:cs="Times New Roman"/>
          <w:sz w:val="28"/>
          <w:szCs w:val="28"/>
        </w:rPr>
        <w:t>: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Комплекти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електронних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дидактичних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матеріалів.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Технологічні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схеми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виконання певного виду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завдань.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Мультимедійні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конспекти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лекцій.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Інтерактивні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блок</w:t>
      </w:r>
      <w:r w:rsidRPr="00031D2E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031D2E">
        <w:rPr>
          <w:rFonts w:ascii="Times New Roman" w:hAnsi="Times New Roman" w:cs="Times New Roman"/>
          <w:sz w:val="28"/>
          <w:szCs w:val="28"/>
        </w:rPr>
        <w:t>схеми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будови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будь-яких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механізмів</w:t>
      </w:r>
      <w:r w:rsidRPr="00031D2E">
        <w:rPr>
          <w:rFonts w:ascii="Times New Roman" w:hAnsi="Times New Roman" w:cs="Times New Roman"/>
          <w:sz w:val="28"/>
          <w:szCs w:val="28"/>
        </w:rPr>
        <w:t>,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приладів</w:t>
      </w:r>
      <w:r w:rsidRPr="00031D2E">
        <w:rPr>
          <w:rFonts w:ascii="Times New Roman" w:hAnsi="Times New Roman" w:cs="Times New Roman"/>
          <w:sz w:val="28"/>
          <w:szCs w:val="28"/>
        </w:rPr>
        <w:t xml:space="preserve">,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пристроїв.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lastRenderedPageBreak/>
        <w:t>Тематичні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збірники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ресурсів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мережі Інтернет та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медіа колекції.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Маршрутні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карти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або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карти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подорожей.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Інтерактивні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плакати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у вигляді проектів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з певної тематики.</w:t>
      </w:r>
    </w:p>
    <w:p w:rsidR="00031D2E" w:rsidRPr="00031D2E" w:rsidRDefault="00031D2E" w:rsidP="00031D2E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Інтелектуальні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карти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мозкового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штурму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з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внесенням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міток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031D2E">
        <w:rPr>
          <w:rStyle w:val="hps"/>
          <w:rFonts w:ascii="Times New Roman" w:hAnsi="Times New Roman" w:cs="Times New Roman"/>
          <w:sz w:val="28"/>
          <w:szCs w:val="28"/>
        </w:rPr>
        <w:t>коментарів</w:t>
      </w:r>
      <w:r w:rsidRPr="00031D2E">
        <w:rPr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групові</w:t>
      </w:r>
      <w:proofErr w:type="gramEnd"/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віньєтки.</w:t>
      </w:r>
    </w:p>
    <w:p w:rsidR="00031D2E" w:rsidRPr="00031D2E" w:rsidRDefault="00031D2E" w:rsidP="00031D2E">
      <w:pPr>
        <w:shd w:val="clear" w:color="auto" w:fill="FFFFFF"/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bCs/>
          <w:sz w:val="28"/>
          <w:szCs w:val="28"/>
        </w:rPr>
        <w:t>Використання</w:t>
      </w:r>
      <w:r w:rsidRPr="00031D2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bCs/>
          <w:sz w:val="28"/>
          <w:szCs w:val="28"/>
        </w:rPr>
        <w:t>сервісу</w:t>
      </w:r>
      <w:r w:rsidRPr="00031D2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bCs/>
          <w:sz w:val="28"/>
          <w:szCs w:val="28"/>
        </w:rPr>
        <w:t>Thinglink</w:t>
      </w:r>
      <w:r w:rsidRPr="00031D2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bCs/>
          <w:sz w:val="28"/>
          <w:szCs w:val="28"/>
        </w:rPr>
        <w:t>сприяє:</w:t>
      </w:r>
    </w:p>
    <w:p w:rsidR="00031D2E" w:rsidRPr="00031D2E" w:rsidRDefault="00031D2E" w:rsidP="00031D2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31D2E">
        <w:rPr>
          <w:rStyle w:val="hps"/>
          <w:rFonts w:ascii="Times New Roman" w:hAnsi="Times New Roman" w:cs="Times New Roman"/>
          <w:sz w:val="28"/>
          <w:szCs w:val="28"/>
        </w:rPr>
        <w:t xml:space="preserve">організації 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проектної</w:t>
      </w:r>
      <w:proofErr w:type="gramEnd"/>
      <w:r w:rsidRPr="00031D2E">
        <w:rPr>
          <w:rStyle w:val="hps"/>
          <w:rFonts w:ascii="Times New Roman" w:hAnsi="Times New Roman" w:cs="Times New Roman"/>
          <w:sz w:val="28"/>
          <w:szCs w:val="28"/>
        </w:rPr>
        <w:t xml:space="preserve"> та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дослідницької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діяльності учнів;</w:t>
      </w:r>
    </w:p>
    <w:p w:rsidR="00031D2E" w:rsidRPr="00031D2E" w:rsidRDefault="00031D2E" w:rsidP="00031D2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представленню результатів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колективної та індивідуальної роботи;</w:t>
      </w:r>
    </w:p>
    <w:p w:rsidR="00031D2E" w:rsidRPr="00031D2E" w:rsidRDefault="00031D2E" w:rsidP="00031D2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31D2E">
        <w:rPr>
          <w:rStyle w:val="hps"/>
          <w:rFonts w:ascii="Times New Roman" w:hAnsi="Times New Roman" w:cs="Times New Roman"/>
          <w:sz w:val="28"/>
          <w:szCs w:val="28"/>
        </w:rPr>
        <w:t>проведенню веб</w:t>
      </w:r>
      <w:r w:rsidRPr="00031D2E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031D2E">
        <w:rPr>
          <w:rFonts w:ascii="Times New Roman" w:hAnsi="Times New Roman" w:cs="Times New Roman"/>
          <w:sz w:val="28"/>
          <w:szCs w:val="28"/>
        </w:rPr>
        <w:t>конкурсів,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інтерактивних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ігор або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D2E">
        <w:rPr>
          <w:rStyle w:val="hps"/>
          <w:rFonts w:ascii="Times New Roman" w:hAnsi="Times New Roman" w:cs="Times New Roman"/>
          <w:sz w:val="28"/>
          <w:szCs w:val="28"/>
        </w:rPr>
        <w:t>вікторин</w:t>
      </w:r>
      <w:r w:rsidRPr="00031D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031D2E">
        <w:rPr>
          <w:rStyle w:val="hps"/>
          <w:rFonts w:ascii="Times New Roman" w:hAnsi="Times New Roman" w:cs="Times New Roman"/>
          <w:sz w:val="28"/>
          <w:szCs w:val="28"/>
        </w:rPr>
        <w:t>та</w:t>
      </w:r>
      <w:proofErr w:type="gramEnd"/>
      <w:r w:rsidRPr="00031D2E">
        <w:rPr>
          <w:rStyle w:val="hps"/>
          <w:rFonts w:ascii="Times New Roman" w:hAnsi="Times New Roman" w:cs="Times New Roman"/>
          <w:sz w:val="28"/>
          <w:szCs w:val="28"/>
        </w:rPr>
        <w:t xml:space="preserve"> ін.</w:t>
      </w:r>
    </w:p>
    <w:p w:rsidR="00031D2E" w:rsidRPr="00031D2E" w:rsidRDefault="00031D2E" w:rsidP="00031D2E">
      <w:pPr>
        <w:tabs>
          <w:tab w:val="left" w:pos="1134"/>
        </w:tabs>
        <w:ind w:left="1134" w:hanging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Також корисними є сервіси: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Сервіс для створення фотофільмів http://fotofilmi.ru – показ та відображення фотографій супроводжується спеціальними ефектами, анімацією, текстовими коментарями та музикою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gramStart"/>
      <w:r w:rsidRPr="00031D2E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031D2E">
        <w:rPr>
          <w:rFonts w:ascii="Times New Roman" w:hAnsi="Times New Roman" w:cs="Times New Roman"/>
          <w:sz w:val="28"/>
          <w:szCs w:val="28"/>
        </w:rPr>
        <w:t xml:space="preserve"> презентацій http://ru.calameo.com http://www.slideboom.com соціальні сервіси, які дозволяють конвертувати презентації рower point у форматі flash та призначені для зберігання й подальшого особистого та загального їх використання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Створення навчальних пазлів http://www.jigsawplanet.com – сервіс дозволяє зробити збирання пазлів доступним та простим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 xml:space="preserve">Методика фішбоун (схема «риб’ячий скелет») http://www.classtools.net дана графічна техніка допомагає: </w:t>
      </w:r>
    </w:p>
    <w:p w:rsidR="00031D2E" w:rsidRPr="00031D2E" w:rsidRDefault="00031D2E" w:rsidP="00031D2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 xml:space="preserve">– структурувати процес, ідентифікувати можливі причини проблем; </w:t>
      </w:r>
    </w:p>
    <w:p w:rsidR="00031D2E" w:rsidRPr="00031D2E" w:rsidRDefault="00031D2E" w:rsidP="00031D2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– дозволяє проаналізувати причини подій більш глибоко, поставити цілі, вказати внутрішні зв'язки між різними частинами проблеми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Візуалізація рефлексії по ключовим словам «хмарка тегів» http://www/wordle.net створює «хмарку» із тексту, який вводить користувач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Побудова шкали часу http://timetoast.com http://www.slideshare.net http://www/dipity.com власна інтерактивна хронологічна шкала часу наповнена фотографіями, текстами та ілюстраціями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Складання кросвордів http://puzzlecup.com/croswordru цей сервіс допоможе без особливих старань скласти свій кросворд http://biouroki.ru сервіс містить готові ребуси, презентації, ігри для вчителів історії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>Побудова кластерів http://bubbl.us сервіс, який допомагає структурувати думки та ідеї</w:t>
      </w:r>
    </w:p>
    <w:p w:rsidR="00031D2E" w:rsidRPr="00031D2E" w:rsidRDefault="00031D2E" w:rsidP="00031D2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</w:rPr>
        <w:t>Проведення мозкового штурму з використанням візуальних засобів http://en.linoit.com допомагає структурувати ідеї, думки та припущення, які виникли спонтанно.</w:t>
      </w:r>
    </w:p>
    <w:p w:rsidR="00031D2E" w:rsidRPr="00031D2E" w:rsidRDefault="00031D2E" w:rsidP="00031D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31D2E">
        <w:rPr>
          <w:sz w:val="28"/>
          <w:szCs w:val="28"/>
          <w:lang w:val="uk-UA"/>
        </w:rPr>
        <w:t xml:space="preserve">икористання нових інформаційних технологій на </w:t>
      </w:r>
      <w:r>
        <w:rPr>
          <w:sz w:val="28"/>
          <w:szCs w:val="28"/>
          <w:lang w:val="uk-UA"/>
        </w:rPr>
        <w:t>лекціях</w:t>
      </w:r>
      <w:r w:rsidRPr="00031D2E">
        <w:rPr>
          <w:sz w:val="28"/>
          <w:szCs w:val="28"/>
          <w:lang w:val="uk-UA"/>
        </w:rPr>
        <w:t xml:space="preserve"> сприятиме: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 xml:space="preserve">розкриттю, збереженню та розвитку індивідуальних здібностей </w:t>
      </w:r>
      <w:r>
        <w:rPr>
          <w:sz w:val="28"/>
          <w:szCs w:val="28"/>
          <w:lang w:val="uk-UA"/>
        </w:rPr>
        <w:t>студенті</w:t>
      </w:r>
      <w:r w:rsidRPr="00031D2E">
        <w:rPr>
          <w:sz w:val="28"/>
          <w:szCs w:val="28"/>
          <w:lang w:val="uk-UA"/>
        </w:rPr>
        <w:t xml:space="preserve">в;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>формуванню пізнавальних якостей;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 xml:space="preserve">прагненню до самовдосконалення;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lastRenderedPageBreak/>
        <w:t xml:space="preserve">забезпеченню комплексності вивчення історичних явищ;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 xml:space="preserve">невідривності взаємозв’язку між гуманітарними науками, мистецтвом, прикладними науками, повсякденному динамічному оновленню змісту, форм і методів навчання та виховання. </w:t>
      </w:r>
    </w:p>
    <w:p w:rsidR="00031D2E" w:rsidRPr="00031D2E" w:rsidRDefault="00031D2E" w:rsidP="00031D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</w:t>
      </w:r>
      <w:r w:rsidRPr="00031D2E">
        <w:rPr>
          <w:sz w:val="28"/>
          <w:szCs w:val="28"/>
          <w:lang w:val="uk-UA"/>
        </w:rPr>
        <w:t xml:space="preserve"> матиме можливість: </w:t>
      </w:r>
    </w:p>
    <w:p w:rsidR="00031D2E" w:rsidRPr="00031D2E" w:rsidRDefault="00031D2E" w:rsidP="00031D2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 xml:space="preserve">– ефективно організовувати контроль знань, умінь та  навичок </w:t>
      </w:r>
      <w:r>
        <w:rPr>
          <w:sz w:val="28"/>
          <w:szCs w:val="28"/>
          <w:lang w:val="uk-UA"/>
        </w:rPr>
        <w:t>студентів</w:t>
      </w:r>
      <w:r w:rsidRPr="00031D2E">
        <w:rPr>
          <w:sz w:val="28"/>
          <w:szCs w:val="28"/>
          <w:lang w:val="uk-UA"/>
        </w:rPr>
        <w:t xml:space="preserve">;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>економно використовувати навчальний час;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tabs>
          <w:tab w:val="clear" w:pos="1080"/>
          <w:tab w:val="num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 xml:space="preserve"> коригувати навчальний процес завдяки забезпеченню зворотнього зв’язку </w:t>
      </w:r>
      <w:r>
        <w:rPr>
          <w:sz w:val="28"/>
          <w:szCs w:val="28"/>
          <w:lang w:val="uk-UA"/>
        </w:rPr>
        <w:t xml:space="preserve"> </w:t>
      </w:r>
      <w:r w:rsidRPr="00031D2E">
        <w:rPr>
          <w:sz w:val="28"/>
          <w:szCs w:val="28"/>
          <w:lang w:val="uk-UA"/>
        </w:rPr>
        <w:t xml:space="preserve">;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 xml:space="preserve">розширювати та комбінувати види роботи </w:t>
      </w:r>
      <w:r>
        <w:rPr>
          <w:sz w:val="28"/>
          <w:szCs w:val="28"/>
          <w:lang w:val="uk-UA"/>
        </w:rPr>
        <w:t xml:space="preserve"> </w:t>
      </w:r>
      <w:r w:rsidRPr="00031D2E">
        <w:rPr>
          <w:sz w:val="28"/>
          <w:szCs w:val="28"/>
          <w:lang w:val="uk-UA"/>
        </w:rPr>
        <w:t xml:space="preserve">; </w:t>
      </w:r>
    </w:p>
    <w:p w:rsidR="00031D2E" w:rsidRPr="00031D2E" w:rsidRDefault="00031D2E" w:rsidP="00031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031D2E">
        <w:rPr>
          <w:sz w:val="28"/>
          <w:szCs w:val="28"/>
          <w:lang w:val="uk-UA"/>
        </w:rPr>
        <w:t>створювати умови для здійснення індивідуального та диференційованого підходу.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Вважаємо, що систематичне використання інформаційних технологій на уроках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  сприятиме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наступному: 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підвищенню рівня використання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наочності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покращенню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встановленню міжпредметних зв'язків;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організації проектної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 щодо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створення навчальних програм та електронних посібників з курсу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логічності подавання навчального матеріалу, що позитивно позначається на рівні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комп’ютерних програм дозволить більш наочно демонструвати різні явища та процеси, що сприятимуть кращому розумінню та засвоєнню навчального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матеріалу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Оптимізації навчального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</w:rPr>
        <w:t>процесу,  значною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мірою сприятиме впровадження мультимедійних технологій. Цікава форма роботи з використанням цих технологій – віртуальні екскурсії. Запропонований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матеріал містить фотографії, документи, схеми, таблиці, відеоматеріали, музичний супровід та інше.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Під час роботи над проектами на практичних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заняттях,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>навчатимуться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самостійно обирати мету, формулювати проблемне питання, здійснювати збір інформації, необхідної для його реалізації, планувати варіанти вирішення проблеми, робити висновки,  аналізувати свою діяльність, здобуваючи новий навчальний і життєвий досвід.</w:t>
      </w:r>
    </w:p>
    <w:p w:rsidR="00031D2E" w:rsidRPr="00031D2E" w:rsidRDefault="00031D2E" w:rsidP="00031D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Результати проектів оформляються у вигляді електронних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</w:rPr>
        <w:t>презентацій,  книг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</w:rPr>
        <w:t>, альбомів, газет, відеофільмів.</w:t>
      </w:r>
    </w:p>
    <w:p w:rsidR="00031D2E" w:rsidRPr="00031D2E" w:rsidRDefault="00031D2E" w:rsidP="00031D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ab/>
        <w:t>Проекти допомагають: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сформувати самостійність;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здійснювати пошукову дослідницьку діяльність;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виявити індивідуальність особистості, її неповторність;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проаналізувати отриману інформацію;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>створити умови для організації творчої діяльності.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 xml:space="preserve">Використання інформаційно-комунікаційних технологій у навчально-виховному процесі сприяє підвищенню його ефективності, всебічному та гармонійному розвитку </w:t>
      </w:r>
      <w:proofErr w:type="gramStart"/>
      <w:r w:rsidRPr="00031D2E">
        <w:rPr>
          <w:rFonts w:ascii="Times New Roman" w:hAnsi="Times New Roman" w:cs="Times New Roman"/>
          <w:sz w:val="28"/>
          <w:szCs w:val="28"/>
        </w:rPr>
        <w:t xml:space="preserve">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D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D2E">
        <w:rPr>
          <w:rFonts w:ascii="Times New Roman" w:hAnsi="Times New Roman" w:cs="Times New Roman"/>
          <w:sz w:val="28"/>
          <w:szCs w:val="28"/>
        </w:rPr>
        <w:t xml:space="preserve"> суттєво впливає на зміст, форми, методи, засоби навчання. Вдало підібрані комп’ютерні програми забезпечують розвиток творчих здібностей, стимулюють пізнавальну </w:t>
      </w:r>
      <w:proofErr w:type="gramStart"/>
      <w:r w:rsidRPr="00031D2E">
        <w:rPr>
          <w:rFonts w:ascii="Times New Roman" w:hAnsi="Times New Roman" w:cs="Times New Roman"/>
          <w:sz w:val="28"/>
          <w:szCs w:val="28"/>
        </w:rPr>
        <w:t>активність .</w:t>
      </w:r>
      <w:proofErr w:type="gramEnd"/>
      <w:r w:rsidRPr="00031D2E">
        <w:rPr>
          <w:rFonts w:ascii="Times New Roman" w:hAnsi="Times New Roman" w:cs="Times New Roman"/>
          <w:sz w:val="28"/>
          <w:szCs w:val="28"/>
        </w:rPr>
        <w:t xml:space="preserve"> При цьому підвищується працездатність учнів, зацікавленість їх різними видами діяльності, поліпшується просторова уява, пам’ять, логічне мислення, розширюється їх світогляд.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Рекомендовано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використовувати відео фрагменти, які не повинні тривати більше 2-3 хвилин, чітко стосуватися теми та містити в собі максимум інформації необхідної для відповіді на поставлені запитання репродуктивного чи творчого характеру. Візуальні матеріали доречно використовувати під час перевірки домашнього завдання, чи закріпленні та корекції здобутих знань. 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Наступним  кроком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запровадження в практику викладання вчителя історії ІКТ є робота з аудіовізуальними джерелами.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першу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чергу це науково-популярні, документальні фільми та телепередачі, карикатури, агітаційні плакати та інше. Аудіовізуальне джерело не просто ілюструє новий матеріа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л, що викладає вчитель, а надає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інформацію на основі якої вони ознайо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млюються з подіями відповідного</w:t>
      </w: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періоду, діяльністю певних історичних осіб, встановлюють причинно-наслідкові зв’язки, аналізують та інтерпретують навчальний матеріал, співставляють інформацію певного відео фрагменту з матеріалом підручника, змістом писемних джерел, власним життєвим досвідом.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використання інформаційно-комунікаційними технологіями на уроках – першочергове завдання сучасного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викладача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Звертаємо увагу, що незважаючи на досить велику кількість освітніх ресурсів у мережі найбільш </w:t>
      </w:r>
      <w:proofErr w:type="gramStart"/>
      <w:r w:rsidRPr="00031D2E">
        <w:rPr>
          <w:rFonts w:ascii="Times New Roman" w:hAnsi="Times New Roman" w:cs="Times New Roman"/>
          <w:sz w:val="28"/>
          <w:szCs w:val="28"/>
          <w:lang w:eastAsia="ar-SA"/>
        </w:rPr>
        <w:t>ефективними  є</w:t>
      </w:r>
      <w:proofErr w:type="gramEnd"/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 ресурси, максимально наближені до потреб , тобто ті, що створюються та підтримуються на рівні навчального закладу, навчального предмета, утворюючи додатковий зв’язок між учнями та вчителем, учнем й учнями, учнями та суспільством. Таким ресурсом може стати персональний сайт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викладача</w:t>
      </w:r>
      <w:r w:rsidRPr="00031D2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1D2E" w:rsidRPr="00031D2E" w:rsidRDefault="00031D2E" w:rsidP="00031D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Таким чином, п</w:t>
      </w:r>
      <w:r>
        <w:rPr>
          <w:rFonts w:ascii="Times New Roman" w:hAnsi="Times New Roman" w:cs="Times New Roman"/>
          <w:sz w:val="28"/>
          <w:szCs w:val="28"/>
          <w:lang w:eastAsia="ar-SA"/>
        </w:rPr>
        <w:t>ерсональний веб-сайт</w:t>
      </w:r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 може виконувати наступні функції: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створення навчального міні-середовища;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– поширення власного педагогічного досвіду;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підвищення власного фахового рівня;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підвищення рівня володіння засобами ІКТ;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можливість зробити навчально-виховний процес гнучкішим за рахунок більш мобільного управління;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розміщення навчальних матеріалів (програм, планів, контрольних запитань до заліку та тематичного оцінювання);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допомога учням у самостійній роботі та підготовці домашнього завдання;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>– можливість для учнів на відстані отримувати навчальний матеріал;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– спілкування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з одногрупниками</w:t>
      </w:r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 та безпосередньо з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викладачем</w:t>
      </w:r>
      <w:r w:rsidRPr="00031D2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Рекомендуємо для проведення консультативних занять, а також поглибленого вивчення окремих тем і </w:t>
      </w:r>
      <w:proofErr w:type="gramStart"/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розділів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31D2E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31D2E">
        <w:rPr>
          <w:rFonts w:ascii="Times New Roman" w:hAnsi="Times New Roman" w:cs="Times New Roman"/>
          <w:sz w:val="28"/>
          <w:szCs w:val="28"/>
          <w:lang w:eastAsia="ar-SA"/>
        </w:rPr>
        <w:t xml:space="preserve"> позаурочний час проведення вебінарів. Вебінар буде успішним, якщо під час його проведення будуть використовувати нові факти, пропонуватимуться для обговорення проблемні питання та ситуації з реального життя.</w:t>
      </w:r>
    </w:p>
    <w:p w:rsidR="00031D2E" w:rsidRPr="00031D2E" w:rsidRDefault="00031D2E" w:rsidP="00031D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 xml:space="preserve">Можна констатувати, </w:t>
      </w: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що ІКТ-компетенція вчителя це здатність педагога розв’язувати професійні завдання з використанням засобів і методів ІКТ, а саме: </w:t>
      </w:r>
    </w:p>
    <w:p w:rsidR="00031D2E" w:rsidRPr="00031D2E" w:rsidRDefault="00031D2E" w:rsidP="00031D2E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здійснювати інформаційну діяльність зі збору, обробки, передавання, зберігання інформаційного ресурсу, з продукування інформації з метою автоматизації процесів інформаційно-методичного забезпечення; </w:t>
      </w:r>
    </w:p>
    <w:p w:rsidR="00031D2E" w:rsidRPr="00031D2E" w:rsidRDefault="00031D2E" w:rsidP="00031D2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оцінювати та реалізовувати можливості електронних видань освітнього призначення й розподіленого в мережі Інтернет інформаційного ресурсу освітнього призначення; </w:t>
      </w:r>
    </w:p>
    <w:p w:rsidR="00031D2E" w:rsidRPr="00031D2E" w:rsidRDefault="00031D2E" w:rsidP="00031D2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організовувати інформаційну взаємодію між учасниками навчального процесу й інтерактивним засобом, який функціонує на базі засобів ІКТ; </w:t>
      </w:r>
    </w:p>
    <w:p w:rsidR="00031D2E" w:rsidRPr="00031D2E" w:rsidRDefault="00031D2E" w:rsidP="00031D2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створювати та використовувати психолого-педагогічні методики контролю і оцінювання рівня знань учнів, їх просування; </w:t>
      </w:r>
    </w:p>
    <w:p w:rsidR="00031D2E" w:rsidRPr="00031D2E" w:rsidRDefault="00031D2E" w:rsidP="00031D2E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здійснювати навчальну діяльність з використанням засобів ІКТ                      в аспектах, що відображають особливості конкретного навчального предмета.</w:t>
      </w:r>
    </w:p>
    <w:p w:rsidR="00031D2E" w:rsidRPr="00031D2E" w:rsidRDefault="00031D2E" w:rsidP="00031D2E">
      <w:pPr>
        <w:tabs>
          <w:tab w:val="left" w:pos="720"/>
          <w:tab w:val="left" w:pos="16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Використовуючи ІКТ у навчально-виховному процесі, варто пам’ятати, що індивідуалізація зводить до мінімуму обмежене в навчальному процесі </w:t>
      </w:r>
      <w:proofErr w:type="gramStart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спілкування </w:t>
      </w:r>
      <w:bookmarkStart w:id="0" w:name="_GoBack"/>
      <w:bookmarkEnd w:id="0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3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пропонуючи їм спілкування у вигляді «діалогу з комп’ютером».</w:t>
      </w:r>
    </w:p>
    <w:p w:rsidR="00031D2E" w:rsidRPr="00031D2E" w:rsidRDefault="00031D2E" w:rsidP="00031D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lastRenderedPageBreak/>
        <w:t xml:space="preserve">Комп'ютерні технології істотно підсилюють мотивацію до навчання, підвищують рівень індивідуалізації навчання, інтенсифікують процес навчання і т.д. </w:t>
      </w:r>
    </w:p>
    <w:p w:rsidR="00031D2E" w:rsidRPr="00031D2E" w:rsidRDefault="00031D2E" w:rsidP="00031D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t xml:space="preserve">Практика доводить, що при активному використанні ІКТ досягаються загальні цілі освіти, легше формуються компетенції в області комунікації: уміння збирати факти, їх зіставляти, організовувати, висловлювати свої думки на папері і усно, логічно міркувати, слухати й розуміти усну та письмову мову, відкривати щось нове, робити вибір, приймати рішення. </w:t>
      </w:r>
    </w:p>
    <w:p w:rsidR="00031D2E" w:rsidRPr="00031D2E" w:rsidRDefault="00031D2E" w:rsidP="00031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1D2E" w:rsidRPr="0003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32"/>
    <w:multiLevelType w:val="multilevel"/>
    <w:tmpl w:val="FB102F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61A9C"/>
    <w:multiLevelType w:val="hybridMultilevel"/>
    <w:tmpl w:val="76FE75BC"/>
    <w:lvl w:ilvl="0" w:tplc="A64C49C4">
      <w:numFmt w:val="bullet"/>
      <w:lvlText w:val="–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37BB9"/>
    <w:multiLevelType w:val="hybridMultilevel"/>
    <w:tmpl w:val="9B5A3CA4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E7D1DBE"/>
    <w:multiLevelType w:val="hybridMultilevel"/>
    <w:tmpl w:val="9CC821B4"/>
    <w:lvl w:ilvl="0" w:tplc="796203A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E01F1"/>
    <w:multiLevelType w:val="multilevel"/>
    <w:tmpl w:val="5BBA5BF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4E"/>
    <w:rsid w:val="00031D2E"/>
    <w:rsid w:val="00534FAE"/>
    <w:rsid w:val="00694FBE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48CE-2BA8-4DE4-986C-4DBDDCC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31D2E"/>
    <w:rPr>
      <w:color w:val="0000FF"/>
      <w:u w:val="single"/>
    </w:rPr>
  </w:style>
  <w:style w:type="character" w:customStyle="1" w:styleId="hps">
    <w:name w:val="hps"/>
    <w:rsid w:val="00031D2E"/>
  </w:style>
  <w:style w:type="character" w:customStyle="1" w:styleId="apple-converted-space">
    <w:name w:val="apple-converted-space"/>
    <w:rsid w:val="00031D2E"/>
  </w:style>
  <w:style w:type="character" w:customStyle="1" w:styleId="atn">
    <w:name w:val="atn"/>
    <w:rsid w:val="00031D2E"/>
  </w:style>
  <w:style w:type="character" w:styleId="a5">
    <w:name w:val="FollowedHyperlink"/>
    <w:basedOn w:val="a0"/>
    <w:uiPriority w:val="99"/>
    <w:semiHidden/>
    <w:unhideWhenUsed/>
    <w:rsid w:val="00031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2020-09-29T15:28:00Z</dcterms:created>
  <dcterms:modified xsi:type="dcterms:W3CDTF">2020-09-29T15:39:00Z</dcterms:modified>
</cp:coreProperties>
</file>