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b/>
          <w:sz w:val="28"/>
          <w:szCs w:val="28"/>
          <w:lang w:val="uk-UA" w:eastAsia="ru-RU"/>
        </w:rPr>
        <w:t>Семінар</w:t>
      </w:r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C7BB8">
        <w:rPr>
          <w:rFonts w:ascii="Times New Roman" w:hAnsi="Times New Roman"/>
          <w:b/>
          <w:bCs/>
          <w:sz w:val="28"/>
          <w:szCs w:val="28"/>
          <w:lang w:val="uk-UA" w:eastAsia="ru-RU"/>
        </w:rPr>
        <w:t>1. КОНСТИТУЦІЙНО-ПРАВОВЕ РЕГУЛЮВАННЯ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b/>
          <w:bCs/>
          <w:sz w:val="28"/>
          <w:szCs w:val="28"/>
          <w:lang w:val="uk-UA" w:eastAsia="ru-RU"/>
        </w:rPr>
        <w:t>СУСПІЛЬНОГО ЛАДУ В ЗАРУБІЖНИХ КРАЇНАХ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План: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1. Конституційно-правові засади політичної системи: інституціональний й функціональний аспекти.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2. Різноманітність форм сучасної держави та їх загальна характеристика.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3. Конституційно-правове регулювання референдуму, плебісциту і народної законодавчої ініціативи в зарубіжних країнах.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4. Конституційні принципи економічних відносин.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5. Конституційно-правові основи соціальної й духовно-культу</w:t>
      </w:r>
      <w:bookmarkStart w:id="0" w:name="_GoBack"/>
      <w:bookmarkEnd w:id="0"/>
      <w:r w:rsidRPr="00EC7BB8">
        <w:rPr>
          <w:rFonts w:ascii="Times New Roman" w:hAnsi="Times New Roman"/>
          <w:sz w:val="28"/>
          <w:szCs w:val="28"/>
          <w:lang w:val="uk-UA" w:eastAsia="ru-RU"/>
        </w:rPr>
        <w:t>рної сфери.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Георгіца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А. З. Конституційне право зарубіжних країн: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/ А. З.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Георгіца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– Тернопіль: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Астон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, 2003. – 432 с.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Конституційне право зарубіжних країн. Академічний курс: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підруч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. / В. М. Шаповал. – К.: Юрінком Інтер, 2008. – 476 с.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Конституції зарубіжних країн: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/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, Ю. М. Коломієць, О. В.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Марцеляк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; за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. ред.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В. О.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– Х.: ФІНН, 2009. – 664 с. Конституційне право зарубіжних країн: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/ за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. – К.: Юрін-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ком Інтер, 2007. – 544 с.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Конституционное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право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зарубежных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стран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учеб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/ под.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общ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ред. М. В. Баглая, Ю. И.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Лейбо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, Л. М.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Энтина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– 3-е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изд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перераб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и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доп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– М.: Норма: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Инфра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-М, 2012. – 1088 с.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t>Конституційне законодавство зарубіжних країн: хрестоматія: [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.] /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384 с.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С. Г. Форма правління: питання конституційно-правової теорії та практики: [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.] / С. Г.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>. – Х.: Право, 2011. – 768 с.</w:t>
      </w:r>
    </w:p>
    <w:p w:rsidR="00EC7BB8" w:rsidRPr="00EC7BB8" w:rsidRDefault="00EC7BB8" w:rsidP="00EC7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7BB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Шаповал В. М.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Сравнительное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C7BB8">
        <w:rPr>
          <w:rFonts w:ascii="Times New Roman" w:hAnsi="Times New Roman"/>
          <w:sz w:val="28"/>
          <w:szCs w:val="28"/>
          <w:lang w:val="uk-UA" w:eastAsia="ru-RU"/>
        </w:rPr>
        <w:t>конституционное</w:t>
      </w:r>
      <w:proofErr w:type="spellEnd"/>
      <w:r w:rsidRPr="00EC7BB8">
        <w:rPr>
          <w:rFonts w:ascii="Times New Roman" w:hAnsi="Times New Roman"/>
          <w:sz w:val="28"/>
          <w:szCs w:val="28"/>
          <w:lang w:val="uk-UA" w:eastAsia="ru-RU"/>
        </w:rPr>
        <w:t xml:space="preserve"> право / В. М. Шаповал. – К.: ИД “Княгиня Ольга”, 2007. – 416 с.</w:t>
      </w:r>
    </w:p>
    <w:p w:rsidR="005069A6" w:rsidRPr="00EC7BB8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EC7BB8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374955"/>
    <w:rsid w:val="005069A6"/>
    <w:rsid w:val="00615D04"/>
    <w:rsid w:val="006A23F8"/>
    <w:rsid w:val="0076795D"/>
    <w:rsid w:val="00782340"/>
    <w:rsid w:val="008F63BB"/>
    <w:rsid w:val="00B00E24"/>
    <w:rsid w:val="00C04216"/>
    <w:rsid w:val="00D74A67"/>
    <w:rsid w:val="00D74F23"/>
    <w:rsid w:val="00D85DFC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3C23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2021-09-29T13:42:00Z</cp:lastPrinted>
  <dcterms:created xsi:type="dcterms:W3CDTF">2021-09-29T13:16:00Z</dcterms:created>
  <dcterms:modified xsi:type="dcterms:W3CDTF">2022-08-17T10:58:00Z</dcterms:modified>
</cp:coreProperties>
</file>