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4E" w:rsidRDefault="00B03515" w:rsidP="00DA26CE">
      <w:pPr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Індивідуальні завдання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Верховенство права як засіб вирішення правових колізій.</w:t>
      </w:r>
    </w:p>
    <w:p w:rsidR="00DA26CE" w:rsidRPr="006D0553" w:rsidRDefault="00DA26CE" w:rsidP="00DA26C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 w:val="0"/>
          <w:w w:val="101"/>
          <w:sz w:val="28"/>
          <w:szCs w:val="28"/>
        </w:rPr>
      </w:pPr>
      <w:r w:rsidRPr="006D0553">
        <w:rPr>
          <w:i w:val="0"/>
          <w:w w:val="101"/>
          <w:sz w:val="28"/>
          <w:szCs w:val="28"/>
        </w:rPr>
        <w:t>Вжиття тимчасових заходів в європейському судочинстві.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Вимоги пропорційності в законодавстві України та рішеннях Конституційного Суду України. </w:t>
      </w:r>
    </w:p>
    <w:p w:rsidR="00DA26CE" w:rsidRPr="006D0553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Вимоги пропорційності в рішеннях Європейського суду з прав</w:t>
      </w:r>
      <w:r w:rsidRPr="006D0553">
        <w:rPr>
          <w:rFonts w:ascii="Times New Roman" w:hAnsi="Times New Roman"/>
          <w:sz w:val="28"/>
          <w:szCs w:val="28"/>
        </w:rPr>
        <w:t xml:space="preserve"> людини. 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Вимоги юридичної визначеності в законодавстві України та рішеннях Конституційного Суду України. </w:t>
      </w:r>
    </w:p>
    <w:p w:rsidR="00DA26CE" w:rsidRPr="006D0553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Вимоги юридичної визначеності в рішеннях Європейського суду з прав </w:t>
      </w:r>
      <w:r w:rsidRPr="006D0553">
        <w:rPr>
          <w:rFonts w:ascii="Times New Roman" w:hAnsi="Times New Roman"/>
          <w:sz w:val="28"/>
          <w:szCs w:val="28"/>
        </w:rPr>
        <w:t xml:space="preserve">людини. 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Відображення в Конституції України вимог верховенства права, сформульованих А.</w:t>
      </w:r>
      <w:proofErr w:type="spellStart"/>
      <w:r>
        <w:rPr>
          <w:rFonts w:ascii="Times New Roman" w:hAnsi="Times New Roman"/>
          <w:sz w:val="28"/>
          <w:szCs w:val="28"/>
        </w:rPr>
        <w:t>Дайсі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Внесок </w:t>
      </w:r>
      <w:proofErr w:type="spellStart"/>
      <w:r>
        <w:rPr>
          <w:rFonts w:ascii="Times New Roman" w:hAnsi="Times New Roman"/>
          <w:sz w:val="28"/>
          <w:szCs w:val="28"/>
        </w:rPr>
        <w:t>Magna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Carta</w:t>
      </w:r>
      <w:proofErr w:type="spellEnd"/>
      <w:r>
        <w:rPr>
          <w:rFonts w:ascii="Times New Roman" w:hAnsi="Times New Roman"/>
          <w:sz w:val="28"/>
          <w:szCs w:val="28"/>
        </w:rPr>
        <w:t xml:space="preserve"> 1215 р. в </w:t>
      </w:r>
      <w:proofErr w:type="spellStart"/>
      <w:r>
        <w:rPr>
          <w:rFonts w:ascii="Times New Roman" w:hAnsi="Times New Roman"/>
          <w:sz w:val="28"/>
          <w:szCs w:val="28"/>
        </w:rPr>
        <w:t>утверждення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принципу верховенства права. 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Внесок християнської традиції у розвиток ідеї верховенства права. </w:t>
      </w:r>
    </w:p>
    <w:p w:rsidR="00DA26CE" w:rsidRPr="006D0553" w:rsidRDefault="00DA26CE" w:rsidP="00DA26C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 w:val="0"/>
          <w:w w:val="101"/>
          <w:sz w:val="28"/>
          <w:szCs w:val="28"/>
        </w:rPr>
      </w:pPr>
      <w:r w:rsidRPr="006D0553">
        <w:rPr>
          <w:i w:val="0"/>
          <w:w w:val="101"/>
          <w:sz w:val="28"/>
          <w:szCs w:val="28"/>
        </w:rPr>
        <w:t>Дружнє врегулювання спорів в Європейському суді.</w:t>
      </w:r>
    </w:p>
    <w:p w:rsidR="00DA26CE" w:rsidRPr="006D0553" w:rsidRDefault="00DA26CE" w:rsidP="00DA26C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 w:val="0"/>
          <w:w w:val="101"/>
          <w:sz w:val="28"/>
          <w:szCs w:val="28"/>
        </w:rPr>
      </w:pPr>
      <w:r w:rsidRPr="006D0553">
        <w:rPr>
          <w:i w:val="0"/>
          <w:w w:val="101"/>
          <w:sz w:val="28"/>
          <w:szCs w:val="28"/>
        </w:rPr>
        <w:t>Застосування не правових норм та актів в європейському судочинстві.</w:t>
      </w:r>
    </w:p>
    <w:p w:rsidR="00DA26CE" w:rsidRPr="006D0553" w:rsidRDefault="00DA26CE" w:rsidP="00DA26C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 w:val="0"/>
          <w:w w:val="101"/>
          <w:sz w:val="28"/>
          <w:szCs w:val="28"/>
        </w:rPr>
      </w:pPr>
      <w:r w:rsidRPr="006D0553">
        <w:rPr>
          <w:i w:val="0"/>
          <w:w w:val="101"/>
          <w:sz w:val="28"/>
          <w:szCs w:val="28"/>
        </w:rPr>
        <w:t>Застосування практики Європейського суду в Україні.</w:t>
      </w:r>
    </w:p>
    <w:p w:rsidR="00DA26CE" w:rsidRPr="006D0553" w:rsidRDefault="00DA26CE" w:rsidP="00DA26C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 w:val="0"/>
          <w:w w:val="101"/>
          <w:sz w:val="28"/>
          <w:szCs w:val="28"/>
        </w:rPr>
      </w:pPr>
      <w:r w:rsidRPr="006D0553">
        <w:rPr>
          <w:i w:val="0"/>
          <w:w w:val="101"/>
          <w:sz w:val="28"/>
          <w:szCs w:val="28"/>
        </w:rPr>
        <w:t>Заходи розслідування.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Зв’язок між ідеями прав людини і верховенства права. </w:t>
      </w:r>
    </w:p>
    <w:p w:rsidR="00DA26CE" w:rsidRPr="006D0553" w:rsidRDefault="00DA26CE" w:rsidP="00DA26C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 w:val="0"/>
          <w:w w:val="101"/>
          <w:sz w:val="28"/>
          <w:szCs w:val="28"/>
        </w:rPr>
      </w:pPr>
      <w:r w:rsidRPr="006D0553">
        <w:rPr>
          <w:i w:val="0"/>
          <w:w w:val="101"/>
          <w:sz w:val="28"/>
          <w:szCs w:val="28"/>
        </w:rPr>
        <w:t>Зміст міждержавної заяви.</w:t>
      </w:r>
    </w:p>
    <w:p w:rsidR="00DA26CE" w:rsidRDefault="00F34278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Ідеї “Федералізм</w:t>
      </w:r>
      <w:r w:rsidR="00DA26CE">
        <w:rPr>
          <w:rFonts w:ascii="Times New Roman" w:hAnsi="Times New Roman"/>
          <w:sz w:val="28"/>
          <w:szCs w:val="28"/>
        </w:rPr>
        <w:t xml:space="preserve">у” в контексті принципу верховенства права. 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Ідея справедливості як складова сучасного розуміння верховенства права. </w:t>
      </w:r>
    </w:p>
    <w:p w:rsidR="00DA26CE" w:rsidRPr="006D0553" w:rsidRDefault="00DA26CE" w:rsidP="00DA26C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 w:val="0"/>
          <w:w w:val="101"/>
          <w:sz w:val="28"/>
          <w:szCs w:val="28"/>
        </w:rPr>
      </w:pPr>
      <w:r w:rsidRPr="006D0553">
        <w:rPr>
          <w:i w:val="0"/>
          <w:w w:val="101"/>
          <w:sz w:val="28"/>
          <w:szCs w:val="28"/>
        </w:rPr>
        <w:t>Історія формування європейського судочинства.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Обсяг судової </w:t>
      </w:r>
      <w:proofErr w:type="spellStart"/>
      <w:r>
        <w:rPr>
          <w:rFonts w:ascii="Times New Roman" w:hAnsi="Times New Roman"/>
          <w:sz w:val="28"/>
          <w:szCs w:val="28"/>
        </w:rPr>
        <w:t>дискреції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умовах дії принципу верховенства права. </w:t>
      </w:r>
    </w:p>
    <w:p w:rsidR="00DA26CE" w:rsidRDefault="00DA26CE" w:rsidP="00DA26C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 w:val="0"/>
          <w:w w:val="101"/>
          <w:sz w:val="28"/>
          <w:szCs w:val="28"/>
        </w:rPr>
      </w:pPr>
      <w:r w:rsidRPr="006D0553">
        <w:rPr>
          <w:i w:val="0"/>
          <w:w w:val="101"/>
          <w:sz w:val="28"/>
          <w:szCs w:val="28"/>
        </w:rPr>
        <w:t>Повноваження Великої палати.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Поділ влади як гарантія верховенства права. 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Поняття «розумність» в рішеннях Європейського суду з прав   людини. </w:t>
      </w:r>
    </w:p>
    <w:p w:rsidR="00DA26CE" w:rsidRPr="006D0553" w:rsidRDefault="00DA26CE" w:rsidP="00DA26C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 w:val="0"/>
          <w:w w:val="101"/>
          <w:sz w:val="28"/>
          <w:szCs w:val="28"/>
        </w:rPr>
      </w:pPr>
      <w:r w:rsidRPr="006D0553">
        <w:rPr>
          <w:i w:val="0"/>
          <w:w w:val="101"/>
          <w:sz w:val="28"/>
          <w:szCs w:val="28"/>
        </w:rPr>
        <w:t>Проблеми дотримання положень Конвенції при зверненні до Європейського суду.</w:t>
      </w:r>
    </w:p>
    <w:p w:rsidR="00DA26CE" w:rsidRPr="006D0553" w:rsidRDefault="00DA26CE" w:rsidP="00DA26C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 w:val="0"/>
          <w:w w:val="101"/>
          <w:sz w:val="28"/>
          <w:szCs w:val="28"/>
        </w:rPr>
      </w:pPr>
      <w:r w:rsidRPr="006D0553">
        <w:rPr>
          <w:i w:val="0"/>
          <w:w w:val="101"/>
          <w:sz w:val="28"/>
          <w:szCs w:val="28"/>
        </w:rPr>
        <w:t>Просторова дія права, що застосовується Європейським судом.</w:t>
      </w:r>
    </w:p>
    <w:p w:rsidR="00DA26CE" w:rsidRPr="006D0553" w:rsidRDefault="00DA26CE" w:rsidP="00DA26C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 w:val="0"/>
          <w:w w:val="101"/>
          <w:sz w:val="28"/>
          <w:szCs w:val="28"/>
        </w:rPr>
      </w:pPr>
      <w:r w:rsidRPr="006D0553">
        <w:rPr>
          <w:i w:val="0"/>
          <w:w w:val="101"/>
          <w:sz w:val="28"/>
          <w:szCs w:val="28"/>
        </w:rPr>
        <w:t>Розміщення та функціонування Європейського суду.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судової влади в утвердженні принципу верховенства права. 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французької декларації прав людини і громадянина 1789 р.  для сучасного розуміння верховенства права. </w:t>
      </w:r>
    </w:p>
    <w:p w:rsidR="00DA26CE" w:rsidRPr="006D0553" w:rsidRDefault="00DA26CE" w:rsidP="00DA26CE">
      <w:pPr>
        <w:numPr>
          <w:ilvl w:val="0"/>
          <w:numId w:val="2"/>
        </w:numPr>
        <w:suppressAutoHyphens/>
        <w:spacing w:after="0" w:line="360" w:lineRule="auto"/>
        <w:ind w:left="0" w:firstLine="709"/>
        <w:rPr>
          <w:rFonts w:ascii="Times New Roman" w:hAnsi="Times New Roman"/>
          <w:w w:val="101"/>
          <w:sz w:val="28"/>
          <w:szCs w:val="28"/>
        </w:rPr>
      </w:pPr>
      <w:r w:rsidRPr="006D0553">
        <w:rPr>
          <w:rFonts w:ascii="Times New Roman" w:hAnsi="Times New Roman"/>
          <w:sz w:val="28"/>
          <w:szCs w:val="28"/>
        </w:rPr>
        <w:t>Сучасний стан порушень Україною Конвенції.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можливе обмеження держави правом? </w:t>
      </w:r>
    </w:p>
    <w:p w:rsidR="00DA26CE" w:rsidRDefault="00DA26CE" w:rsidP="00DA26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сумісний принцип верховенства права з позитивістським </w:t>
      </w:r>
      <w:proofErr w:type="spellStart"/>
      <w:r>
        <w:rPr>
          <w:rFonts w:ascii="Times New Roman" w:hAnsi="Times New Roman"/>
          <w:sz w:val="28"/>
          <w:szCs w:val="28"/>
        </w:rPr>
        <w:t>праворозумінням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DA26CE" w:rsidRPr="00DA26CE" w:rsidRDefault="00DA26CE" w:rsidP="00DA26CE">
      <w:pPr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A26CE" w:rsidRPr="00DA26CE" w:rsidSect="00AB5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25"/>
    <w:lvl w:ilvl="0">
      <w:start w:val="1"/>
      <w:numFmt w:val="decimal"/>
      <w:lvlText w:val="%1."/>
      <w:lvlJc w:val="left"/>
      <w:pPr>
        <w:tabs>
          <w:tab w:val="num" w:pos="1411"/>
        </w:tabs>
        <w:ind w:left="1411" w:hanging="360"/>
      </w:pPr>
      <w:rPr>
        <w:rFonts w:cs="Times New Roman"/>
        <w:i w:val="0"/>
        <w:w w:val="10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A863CC"/>
    <w:multiLevelType w:val="hybridMultilevel"/>
    <w:tmpl w:val="1AC09B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2F0"/>
    <w:rsid w:val="00546181"/>
    <w:rsid w:val="00777D4E"/>
    <w:rsid w:val="008F42F0"/>
    <w:rsid w:val="00A05741"/>
    <w:rsid w:val="00AB5C63"/>
    <w:rsid w:val="00B03515"/>
    <w:rsid w:val="00DA26CE"/>
    <w:rsid w:val="00F34278"/>
    <w:rsid w:val="00F8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15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515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DA26CE"/>
    <w:pPr>
      <w:suppressAutoHyphens/>
      <w:spacing w:after="0" w:line="100" w:lineRule="atLeast"/>
      <w:jc w:val="center"/>
    </w:pPr>
    <w:rPr>
      <w:rFonts w:ascii="Times New Roman" w:hAnsi="Times New Roman"/>
      <w:i/>
      <w:iCs/>
      <w:color w:val="000000"/>
      <w:kern w:val="1"/>
      <w:sz w:val="27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DA26CE"/>
    <w:rPr>
      <w:rFonts w:ascii="Times New Roman" w:eastAsia="Times New Roman" w:hAnsi="Times New Roman" w:cs="Times New Roman"/>
      <w:i/>
      <w:iCs/>
      <w:color w:val="000000"/>
      <w:kern w:val="1"/>
      <w:sz w:val="27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DA26C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A26CE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Social dialog</cp:lastModifiedBy>
  <cp:revision>3</cp:revision>
  <dcterms:created xsi:type="dcterms:W3CDTF">2021-09-05T10:34:00Z</dcterms:created>
  <dcterms:modified xsi:type="dcterms:W3CDTF">2022-01-19T14:27:00Z</dcterms:modified>
</cp:coreProperties>
</file>