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9DF76" w14:textId="77777777" w:rsidR="00D824F3" w:rsidRPr="00D824F3" w:rsidRDefault="00D824F3" w:rsidP="00D824F3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kern w:val="36"/>
          <w:szCs w:val="28"/>
          <w:lang w:val="ru-RU" w:eastAsia="ru-RU"/>
        </w:rPr>
      </w:pPr>
      <w:proofErr w:type="spellStart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>Співпраця</w:t>
      </w:r>
      <w:proofErr w:type="spellEnd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 xml:space="preserve"> з ворогом </w:t>
      </w:r>
      <w:proofErr w:type="spellStart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>під</w:t>
      </w:r>
      <w:proofErr w:type="spellEnd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 xml:space="preserve"> час </w:t>
      </w:r>
      <w:proofErr w:type="spellStart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>окупації</w:t>
      </w:r>
      <w:proofErr w:type="spellEnd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 xml:space="preserve">: </w:t>
      </w:r>
      <w:proofErr w:type="spellStart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>які</w:t>
      </w:r>
      <w:proofErr w:type="spellEnd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 xml:space="preserve"> </w:t>
      </w:r>
      <w:proofErr w:type="spellStart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>обставини</w:t>
      </w:r>
      <w:proofErr w:type="spellEnd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 xml:space="preserve"> </w:t>
      </w:r>
      <w:proofErr w:type="spellStart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>виключають</w:t>
      </w:r>
      <w:proofErr w:type="spellEnd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 xml:space="preserve"> </w:t>
      </w:r>
      <w:proofErr w:type="spellStart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>кримінальну</w:t>
      </w:r>
      <w:proofErr w:type="spellEnd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 xml:space="preserve"> </w:t>
      </w:r>
      <w:proofErr w:type="spellStart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>протиправність</w:t>
      </w:r>
      <w:proofErr w:type="spellEnd"/>
      <w:r w:rsidRPr="00D824F3">
        <w:rPr>
          <w:rFonts w:eastAsia="Times New Roman" w:cs="Times New Roman"/>
          <w:b/>
          <w:bCs/>
          <w:kern w:val="36"/>
          <w:szCs w:val="28"/>
          <w:lang w:val="ru-RU" w:eastAsia="ru-RU"/>
        </w:rPr>
        <w:t>?</w:t>
      </w:r>
    </w:p>
    <w:p w14:paraId="1E0E72C2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Українська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Гельсінська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спілка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з прав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людини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представляє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серію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публікацій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питань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колабораціонізму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проблематики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судових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справ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щодо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воєнних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злочинів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доступу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населення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правової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допомоги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збройного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конфлікту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Автори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матеріалів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–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судді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адвокати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пройшли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навчання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за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освітніми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курсами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від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УГСПЛ (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begin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instrText xml:space="preserve"> HYPERLINK "https://helsinki.org.ua/articles/analityka-vid-suddiv-ta-advokativ-seriia-publikatsiy-vid-vypusknykiv-osvitnikh-prohram-uhspl/" </w:instrText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separate"/>
      </w:r>
      <w:r w:rsidRPr="00D824F3">
        <w:rPr>
          <w:rFonts w:ascii="Calibri" w:eastAsia="Times New Roman" w:hAnsi="Calibri" w:cs="Calibri"/>
          <w:i/>
          <w:iCs/>
          <w:color w:val="0000FF"/>
          <w:sz w:val="27"/>
          <w:szCs w:val="27"/>
          <w:u w:val="single"/>
          <w:lang w:val="ru-RU" w:eastAsia="ru-RU"/>
        </w:rPr>
        <w:t>переглянути</w:t>
      </w:r>
      <w:proofErr w:type="spellEnd"/>
      <w:r w:rsidRPr="00D824F3">
        <w:rPr>
          <w:rFonts w:ascii="Calibri" w:eastAsia="Times New Roman" w:hAnsi="Calibri" w:cs="Calibri"/>
          <w:i/>
          <w:iCs/>
          <w:color w:val="0000FF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0000FF"/>
          <w:sz w:val="27"/>
          <w:szCs w:val="27"/>
          <w:u w:val="single"/>
          <w:lang w:val="ru-RU" w:eastAsia="ru-RU"/>
        </w:rPr>
        <w:t>всі</w:t>
      </w:r>
      <w:proofErr w:type="spellEnd"/>
      <w:r w:rsidRPr="00D824F3">
        <w:rPr>
          <w:rFonts w:ascii="Calibri" w:eastAsia="Times New Roman" w:hAnsi="Calibri" w:cs="Calibri"/>
          <w:i/>
          <w:iCs/>
          <w:color w:val="0000FF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0000FF"/>
          <w:sz w:val="27"/>
          <w:szCs w:val="27"/>
          <w:u w:val="single"/>
          <w:lang w:val="ru-RU" w:eastAsia="ru-RU"/>
        </w:rPr>
        <w:t>матеріали</w:t>
      </w:r>
      <w:proofErr w:type="spellEnd"/>
      <w:r w:rsidRPr="00D824F3">
        <w:rPr>
          <w:rFonts w:ascii="Calibri" w:eastAsia="Times New Roman" w:hAnsi="Calibri" w:cs="Calibri"/>
          <w:i/>
          <w:iCs/>
          <w:color w:val="0000FF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0000FF"/>
          <w:sz w:val="27"/>
          <w:szCs w:val="27"/>
          <w:u w:val="single"/>
          <w:lang w:val="ru-RU" w:eastAsia="ru-RU"/>
        </w:rPr>
        <w:t>серії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end"/>
      </w:r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). </w:t>
      </w:r>
    </w:p>
    <w:p w14:paraId="2B553B7E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В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цій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публікація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суддя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Верхньодніпровського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районного суду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Дніпропетровської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області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 </w:t>
      </w:r>
      <w:r w:rsidRPr="00D824F3">
        <w:rPr>
          <w:rFonts w:ascii="Calibri" w:eastAsia="Times New Roman" w:hAnsi="Calibri" w:cs="Calibri"/>
          <w:b/>
          <w:bCs/>
          <w:i/>
          <w:iCs/>
          <w:color w:val="333333"/>
          <w:sz w:val="27"/>
          <w:szCs w:val="27"/>
          <w:lang w:val="ru-RU" w:eastAsia="ru-RU"/>
        </w:rPr>
        <w:t>Ольга Шевченко</w:t>
      </w:r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 описала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обставини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виключають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кримінальну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протиправність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колабораційної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. </w:t>
      </w:r>
    </w:p>
    <w:p w14:paraId="7FD82165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Колаборанти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історії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 </w:t>
      </w:r>
    </w:p>
    <w:p w14:paraId="21860A9E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noProof/>
          <w:color w:val="0000FF"/>
          <w:sz w:val="27"/>
          <w:szCs w:val="27"/>
          <w:lang w:val="ru-RU" w:eastAsia="ru-RU"/>
        </w:rPr>
        <w:drawing>
          <wp:inline distT="0" distB="0" distL="0" distR="0" wp14:anchorId="7BF4D233" wp14:editId="40F0926F">
            <wp:extent cx="3629886" cy="5448234"/>
            <wp:effectExtent l="0" t="0" r="8890" b="63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32" cy="548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Суддя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Верхньодніпровського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районного суду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Дніпропетровської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області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Ольга Шевченко</w:t>
      </w:r>
    </w:p>
    <w:p w14:paraId="2E520AAB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Станом на</w:t>
      </w:r>
      <w:hyperlink r:id="rId6" w:history="1"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> 2021</w:t>
        </w:r>
      </w:hyperlink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рік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тимчасовою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begin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instrText xml:space="preserve"> HYPERLINK "https://www.ukrinform.ua/rubric-ato/2644798-rosia-okupuvala-7-teritorii-ukraini-prezident.html;" </w:instrText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separate"/>
      </w:r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російською</w:t>
      </w:r>
      <w:proofErr w:type="spellEnd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окупацією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end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перебувало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43 300 кв. км,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begin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instrText xml:space="preserve"> HYPERLINK "https://zn.ua/ukr/UKRAINE/vid-rosiyskoyi-agresiyi-v-ukrayini-zaginuli-mayzhe-10-tis-gromadyan-ukrayini-mzs-234002_.html" </w:instrText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separate"/>
      </w:r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 xml:space="preserve"> 7 % </w:t>
      </w:r>
      <w:proofErr w:type="spellStart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української</w:t>
      </w:r>
      <w:proofErr w:type="spellEnd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території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end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 </w:t>
      </w:r>
    </w:p>
    <w:p w14:paraId="1C700F99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Після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початку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російського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вторгнення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2022 року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площа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begin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instrText xml:space="preserve"> HYPERLINK "https://forbes.ua/inside/ploshcha-okupovanoi-ukraini-vtrati-rosiyskoi-tekhniki-ta-17-dib-stolichnikh-trivog-10-faktiv-pro-tri-misyatsi-viyni-vid-forbes-infografika-24052022-6167" </w:instrText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separate"/>
      </w:r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зросла</w:t>
      </w:r>
      <w:proofErr w:type="spellEnd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 xml:space="preserve"> у 2,9 рази</w:t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end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Отже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починаючи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2014 року,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значна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опинилася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окупацією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lastRenderedPageBreak/>
        <w:t>Російською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Федерацією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: АРК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м. Севастополь,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Херсонщина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Київщина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Сумщина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Чернігівщина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частини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Донецької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Луганської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Запорізької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областей.</w:t>
      </w:r>
    </w:p>
    <w:p w14:paraId="12133362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Історія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показала: держава,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так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інакше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стикається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подібними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йому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соціально-політичними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явищами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Беззаперечним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той факт,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єдиною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причиною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виникнення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таких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явищ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сучасноі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України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вчинена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агресія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Російськоі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Федераціі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̈ [*1 с.33].</w:t>
      </w:r>
    </w:p>
    <w:p w14:paraId="05A6DF11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Вітчизняний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дослідник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Євген Письменський,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зазначає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феномен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громадян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проживають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окупованіи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̆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прийнято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розглядати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широкому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вузькому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контекстах. У широкому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значенні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суть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явища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складає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комплекс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взаємовідносин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усіх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сферах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життя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між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населенням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взаємовідносини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можуть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відбуватись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всіх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можливих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рівнях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починаючи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побутового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особисто-інтимного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закінчуючи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ідеологічним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воєнним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передбачаючи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настання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всіх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видів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соціальноі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[*1, с. 77] «На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окупованіи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̆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сучасноі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України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знаходить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̆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прояв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вкраи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̆ широкому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діапазоні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–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культурно-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освітнього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рівня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політичноі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воєнноі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», –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резюмує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автор. [*1, с.87]</w:t>
      </w:r>
    </w:p>
    <w:p w14:paraId="6DC845F2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Очевидним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те,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тривалішою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більше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людей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йде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окупаційними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силами,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адже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людям,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залишилися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територіях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потрібно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продовжувати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працювати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навчатися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тобто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співіснувати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одній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37304CA6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Валентина Олександрівна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Шайкан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звертає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увагу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той факт,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поведінка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серед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українського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польського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російського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іншого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населення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характерна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була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й в роки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гітлерівської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коли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ідейна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розгубленість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дезорієнтація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деполітизація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деморалізація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соціальна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аморфність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терор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важке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матеріальне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становище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змусили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громадян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пристосовуватись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«нового» режиму шляхом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відмови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певних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моральних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цінностей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заради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безпеки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своїх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фізіологічних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потреб.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Майже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сама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ситуація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повторюється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сьогодні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серед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українців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РФ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територіях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Зрозуміло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й те,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частина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населення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сьогодні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свідомо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йде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«новою»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владою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ідеологічних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міркувань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(так звана «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пʼята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колона», яка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поділяє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головні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засади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політики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путінських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),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частина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маргиналів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серед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нерідко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–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жорстокі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схильні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конформізму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швидко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пристосовуються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й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прислуговуються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тому,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хто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сьогодні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там «при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владі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». [*2, с.128]</w:t>
      </w:r>
    </w:p>
    <w:p w14:paraId="52F96055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звʼязку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цікавою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думка психолога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Віталія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gram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Миколайовича 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Духневича</w:t>
      </w:r>
      <w:proofErr w:type="spellEnd"/>
      <w:proofErr w:type="gram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те,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воєнні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зумовлюють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зміни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лише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індивідуальної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а й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масової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свідомості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починає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функціонувати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інакше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ніж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мирний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час. [*3, с.21] «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Воєнні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–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продовжує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– як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екстремальна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надзвичайна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ситуація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суттєво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змінюють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свідомість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особистості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переживає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У коло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змін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потрапляють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усі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структури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свідомості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людини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зʼявляється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моделі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поведінки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обмежують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соціальну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громадянську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ефективність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деформується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уявлення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світ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про себе, про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інших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Актуалізується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відчуття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небезпеки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основні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ресурси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слугують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цілям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виживання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lastRenderedPageBreak/>
        <w:t>забезпечення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відчуття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психологічної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фізичної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безпеки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себе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своїх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рідних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Потреба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безпеці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запускає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комплекси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стосунків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ставлень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орієнтацію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тих,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хто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гарантувати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безпеку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». [*3, с.22]</w:t>
      </w:r>
    </w:p>
    <w:p w14:paraId="43F18986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В свою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чергу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 в роки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Другої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світової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війни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так і зараз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прагнули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посіяти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паніку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безнадійність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щоб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примусити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людей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усвідомити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необхідність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чужинцями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допомогою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тотального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переслідування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контролю,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залякування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гітлерівці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намагалися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виховати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покоління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слухняних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рабів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цією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метою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нацисти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створювали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умови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коли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людина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рано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пізно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змушена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буде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шукати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роботу,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щоб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померти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голоду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холоду – і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придбати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палива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житла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Роботу могли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тільки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німці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дозволу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Не дивно, що коли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гітлерівці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проводили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вербування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поліції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заради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безкоштовного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харчування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одягу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платні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знаходилося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немало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бажаючих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Створюючи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умови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коли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життя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практично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неможливе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без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окупаційними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органами,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гітлерівці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самим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сприяли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виникненню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колабораціоністських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настроїв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активно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використовували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 [*4, с.124] </w:t>
      </w:r>
    </w:p>
    <w:p w14:paraId="2435C20F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</w:pPr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*1 Письменський Є.О.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Колабораціонізм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як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суспільно-політичне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явище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сучасній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Україні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(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кримінально-правові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аспекти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):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науковий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нарис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. –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Сєвєродонецьк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, 2020. – 121с. </w:t>
      </w:r>
    </w:p>
    <w:p w14:paraId="3D626DE6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</w:pPr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*2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Шайкан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В.О.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Колабораціонізм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пособництво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сепаратизм, причини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міжнаціонального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протистояння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: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проблеми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кваліфікації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відповідальності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Сучасні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інтерпретації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актуальних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проблем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історії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та права в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країнах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Східної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Західної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Європи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середини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ХХ-ХХІ ст.;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Кривий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Ріг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Видавець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ФОП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Чернявський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Д.О., 2017. – 240 с.</w:t>
      </w:r>
    </w:p>
    <w:p w14:paraId="041EF018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</w:pPr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*3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В.М.Духневич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«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Особливості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політико-правових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уявлень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громадян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гібридної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війни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» («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Негативні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психологічні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явища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політико-правовій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сфері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воєнного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конфлікту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», В.М.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Духневич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О.М.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Кочубейник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О.Ю.Осадько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З.Ф.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Сіверс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за ред. В.М.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Духневича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Національна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академія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педагогічних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наук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Інститут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соціальної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політичної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психології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Кропивницький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Імекс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-ЛТД, 2020 р. – 188 с. </w:t>
      </w:r>
    </w:p>
    <w:p w14:paraId="31ED6C89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</w:pPr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*4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Шайкан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В.О.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Колабораціонізм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території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рейхскомісаріату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«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Україна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» та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військової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зони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період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Другої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світової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війни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Монографія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. –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Кривий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Ріг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: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Мінерал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, 2005. – 466 с.  </w:t>
      </w:r>
    </w:p>
    <w:p w14:paraId="7C6996DD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Сучасні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колаборанти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 </w:t>
      </w:r>
    </w:p>
    <w:p w14:paraId="79CD86FB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noProof/>
          <w:color w:val="0000FF"/>
          <w:sz w:val="27"/>
          <w:szCs w:val="27"/>
          <w:lang w:val="ru-RU" w:eastAsia="ru-RU"/>
        </w:rPr>
        <w:lastRenderedPageBreak/>
        <w:drawing>
          <wp:inline distT="0" distB="0" distL="0" distR="0" wp14:anchorId="428B2A5F" wp14:editId="521DB67B">
            <wp:extent cx="3264288" cy="4899494"/>
            <wp:effectExtent l="0" t="0" r="0" b="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972" cy="491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Затримання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підозрюваного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колабораційній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Херсонщині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 Фото: СБУ</w:t>
      </w:r>
    </w:p>
    <w:p w14:paraId="5CC03E32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Аналогічні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й зараз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розгортаються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територіях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Мешканці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підтверджують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роботу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отримати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тільки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органах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окупаційної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співпрацюючи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ними.</w:t>
      </w:r>
    </w:p>
    <w:p w14:paraId="561EFD79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Можемо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сумом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констатувати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як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соціальне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явище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набуло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широких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масштабів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територіях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Станом на 27 листопада 2022 року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слідчі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Національної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поліції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розпочали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  <w:hyperlink r:id="rId9" w:history="1"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 xml:space="preserve">2078 </w:t>
        </w:r>
        <w:proofErr w:type="spellStart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>кримінальних</w:t>
        </w:r>
        <w:proofErr w:type="spellEnd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 xml:space="preserve"> </w:t>
        </w:r>
        <w:proofErr w:type="spellStart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>проваджень</w:t>
        </w:r>
        <w:proofErr w:type="spellEnd"/>
      </w:hyperlink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 за фактом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колабораційної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(ст. 111-1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).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набуває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форми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пасивного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активного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однак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далеко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завжди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містить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ознаки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7DEEE7B7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Враховуючи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те, що колабораційна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набувати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будь-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форми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добровільний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ж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вимушений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прояв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першочерговим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визначення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того,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злочинними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субʼєктивний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чинник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Тобто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вкрай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важливо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зʼясувати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психоемоційний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стан особи,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мотиви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мету,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конкретну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життєву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ситуацію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встановлення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обставин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можуть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свідчити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відсутність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протиправності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513C52BD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Основною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ознакою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субʼєктивної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сторони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будь-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складу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вина.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Вимога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довести вину особи, яка вчинила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суспільно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небезпечне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непорушним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принципом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здійснення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правосуддя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(ст. 62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lastRenderedPageBreak/>
        <w:t>Конституції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ч. 2 ст. 2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).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Якщо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суспільно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небезпечного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відсутні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умисел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необережність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то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унеможливлюється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притягнення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 [*5, с. 100]</w:t>
      </w:r>
    </w:p>
    <w:p w14:paraId="123EEEDC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Згідно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ст. 23 </w:t>
      </w:r>
      <w:hyperlink r:id="rId10" w:anchor="Text" w:history="1"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 xml:space="preserve">КК </w:t>
        </w:r>
        <w:proofErr w:type="spellStart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>України</w:t>
        </w:r>
        <w:proofErr w:type="spellEnd"/>
      </w:hyperlink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 виною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психічне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ставлення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вчинюваної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бездіяльності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наслідків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виражене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формі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умислу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необережності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135E2B5E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Якщо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звернутися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диспозиції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ст. 111-1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кодексу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очевидним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те,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колабораційна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вчиняється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тільки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умислом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(прямим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ж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непрямим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). </w:t>
      </w:r>
    </w:p>
    <w:p w14:paraId="1EB26687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форми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вини особа: </w:t>
      </w:r>
    </w:p>
    <w:p w14:paraId="3D14176B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1)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усвідомлює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суспільно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небезпечнии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̆ характер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тобто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здатність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через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надання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допомоги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іноземніи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̆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окупувала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своєі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спричинити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 шкоду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взятим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охорону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права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цінностям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саме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інтересам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частині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забезпечення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їі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національноі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безпеки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; </w:t>
      </w:r>
    </w:p>
    <w:p w14:paraId="46D33D8F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2)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передбачає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неминучість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можливість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спричинення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шкоди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; </w:t>
      </w:r>
    </w:p>
    <w:p w14:paraId="30ED810D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3)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бажає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свідомо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припускає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результаті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такого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бути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заподіяна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шкода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відповідному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об’єктові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посягання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 [*1, с.85] </w:t>
      </w:r>
    </w:p>
    <w:p w14:paraId="227C8AFE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̆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колабораціоністського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характеру з прямим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умислом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зазвичаи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̆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характерним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тих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громадян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України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 (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)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політико-ідеологічну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мотивацію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Водночас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таких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̆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непрямим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умислом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більш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властиве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іншоі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категоріі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осіб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із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корисливих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мотивів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інших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меркантильних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низьких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переконань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(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наприклад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деяких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осіб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приваблювала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досить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легка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можливість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побудувати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кар’єру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з’явилась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урахуванням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переміщення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найбільш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професійно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успішноі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частини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населення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). [*1, с.86] </w:t>
      </w:r>
    </w:p>
    <w:p w14:paraId="1EECFFC0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</w:pPr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*1 Письменський Є.О.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Колабораціонізм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як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суспільно-політичне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явище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сучасній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Україні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(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кримінально-правові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аспекти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):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науковий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нарис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. –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Сєвєродонецьк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, 2020. – 121с. </w:t>
      </w:r>
    </w:p>
    <w:p w14:paraId="051C3B8D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</w:pPr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*</w:t>
      </w:r>
      <w:proofErr w:type="gram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5  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Кончук</w:t>
      </w:r>
      <w:proofErr w:type="spellEnd"/>
      <w:proofErr w:type="gram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Н.С. «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Кримінальна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відповідальність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за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державну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зраду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Львів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: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Видавництво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«Растр-7; 2019 – 168 с. </w:t>
      </w:r>
    </w:p>
    <w:p w14:paraId="272538B0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Психологічна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 xml:space="preserve"> сторона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злочину</w:t>
      </w:r>
      <w:proofErr w:type="spellEnd"/>
    </w:p>
    <w:p w14:paraId="59FC6EB5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випадку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колабораційної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субʼєкт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повинен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чітко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усвідомлювати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допомагає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сприяє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державі-агресору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окупаційній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владі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Відсутність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такого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усвідомлення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виключає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44300D7D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Тобто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скажімо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громадянин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,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публічно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заперечуючи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здійснення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збройної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агресії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фактично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допомагає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ворожій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стороні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сприяє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окупувала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Однак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цьому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разі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йдеться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обізнаність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злочинця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щодо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існування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кримінально-правової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норми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регламентує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 колабораційну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оскільки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«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незнання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законів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звільняє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(ч. 2 ст. 68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).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Достатнім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те,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громадянин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усвідомлює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підтримує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держави-агресора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окупаційних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органів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а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–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громадянином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є.</w:t>
      </w:r>
    </w:p>
    <w:p w14:paraId="0282584B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  <w:hyperlink r:id="rId11" w:anchor="Text" w:history="1"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>до ч. 2 ст. 19 КК </w:t>
        </w:r>
      </w:hyperlink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підлягає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кримінальніи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̆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особа, яка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час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суспільно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небезпечного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передбаченого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КК,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перебувала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стані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неосудності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тобто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могла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усвідомлювати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lastRenderedPageBreak/>
        <w:t>(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бездіяльність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)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керувати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ними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внаслідок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хронічного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психічного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захворювання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тимчасового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розладу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психічноі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недоумства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іншого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хворобливого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стану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психіки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5D81ED97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Враховуючи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вищевикладене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зайвим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таких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категоріях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справ, 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певних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обставин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призначення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судових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психолого-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психіатричних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експертиз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Метою таких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експертиз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бути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отримання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питання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дійсно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особа,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знаходячись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конкретних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життєвих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обставинах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активних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воєнних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усвідомлювала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протиправність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своїх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могла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керувати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ними.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виключено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кризова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ситуація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урахуванням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індивідуальних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особливостей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психіки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конкретної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особи, так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інакше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вплинути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самим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змусити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людину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фактично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відмовитись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минулих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цінностей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поглядів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впливом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хворобливого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стану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психіки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ворогом.</w:t>
      </w:r>
    </w:p>
    <w:p w14:paraId="5C84AA79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Розкриваючи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психологічний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зміст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субʼєктивної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сторони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складу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необхідно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звертати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увагу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мотив і мету.</w:t>
      </w:r>
    </w:p>
    <w:p w14:paraId="688CD506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основі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аналізу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положень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ст. 111-1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простежується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законодавець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вказує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мотив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свідчить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те,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обов’язковою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ознакою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складу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Попри те,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мотиви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передбаченого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ст. 111-1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значення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кваліфікації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встановлення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необхідним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повноти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оцінки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обвинуваченого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(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підозрюваного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). </w:t>
      </w:r>
    </w:p>
    <w:p w14:paraId="7DD524B0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Мотиви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можуть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бути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різними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: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прагнення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наживи; ненависть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проживає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колабораціоніст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;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бажання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врятувати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життя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;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безнадія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подальшіи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̆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боротьбі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;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загроза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жорстоких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репресіи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̆ тощо.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Національні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суди,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розглядаючи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справи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колабораційну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завжди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зазначають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мотив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Серед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встановлених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зазвичай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вказують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: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особисті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корисливі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ідеологічно-політичні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уподобання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бажання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працювати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незаконному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правоохоронному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органі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тощо.</w:t>
      </w:r>
    </w:p>
    <w:p w14:paraId="74ED6826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Мета, як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ознака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субʼєктивної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сторони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складу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колабораційна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більшості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випадків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обовʼязовою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Однак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них (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серед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18,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містить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ст. 111-1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)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обовʼязковою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ознакою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складу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мету, 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саме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: за ч. 3 – мета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пропаганди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; за ч. 6 – мета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організаціі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проведення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заходів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(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)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саме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активноі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участі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них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задля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підтримки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держави-агресора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уникнення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збройну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агресію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України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52C16F84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noProof/>
          <w:color w:val="0000FF"/>
          <w:sz w:val="27"/>
          <w:szCs w:val="27"/>
          <w:lang w:val="ru-RU" w:eastAsia="ru-RU"/>
        </w:rPr>
        <w:lastRenderedPageBreak/>
        <w:drawing>
          <wp:inline distT="0" distB="0" distL="0" distR="0" wp14:anchorId="4E3BB231" wp14:editId="30CEFCB4">
            <wp:extent cx="5878694" cy="3916680"/>
            <wp:effectExtent l="0" t="0" r="8255" b="7620"/>
            <wp:docPr id="3" name="Рисунок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61" cy="393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Затримання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підозрюваного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колабораційній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–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колишнього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працівника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створеного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окупантами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«главного управления МВД Херсонской области». Фото: СБУ</w:t>
      </w:r>
    </w:p>
    <w:p w14:paraId="61E00294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 xml:space="preserve">Особиста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вигода</w:t>
      </w:r>
      <w:proofErr w:type="spellEnd"/>
    </w:p>
    <w:p w14:paraId="69CFC99F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колабораційна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вигляді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вчинятися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з метою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завоювати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довіру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іноземної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забезпечення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сприятливих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умов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проживання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територіях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;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заручитися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підтримкою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щодо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сприяння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боку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безпечного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виїзду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усвідомлює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своїми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спричинити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шкоду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національній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безпеці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однак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завдання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шкоди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охоплюється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кінцевою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метою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І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також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обовʼязково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необхідно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враховувати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час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кваліфікації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6376BB24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Непоодинокими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випадки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коли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громадяни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надають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допомогу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державі-агресору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співпрацюють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нею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лише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метою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запобігання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спричинення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шкоди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життю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здоровʼю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їхнім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близьким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збереження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майна,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бізнеса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тощо. Так, з одного боку,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очевидним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вони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співпрацюють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надаючи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продукти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харчування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сплачуючи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податки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орендну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плату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користь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тощо.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іншого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боку,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меті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допомогти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самим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державі-агресору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переслідують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зовсім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інші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цілі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Відтак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постає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питання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підпадатимуть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їхні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ознаки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складу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передбаченого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ст. 111-1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?</w:t>
      </w:r>
    </w:p>
    <w:p w14:paraId="5CF640DF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Кримінальне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ні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?</w:t>
      </w:r>
    </w:p>
    <w:p w14:paraId="6E23A152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Українські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суди метою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колабораційної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переважно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зазначають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: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схиляння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інших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осіб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позиції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;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здійснення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інформаційної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державою-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агресором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спрямовані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підтримку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;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lastRenderedPageBreak/>
        <w:t>підтримання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окупаційної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;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наділення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обвинуваченого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функціями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керівника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незаконного органу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67F0BFB9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Звертає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себе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увагу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ч. 2, 5, 7 ст. 111-1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обовʼязковою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ознакою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складу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добровільність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Виникнення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саме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такого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формулювання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бути пояснено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ухвалення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закону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поспіхом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визначили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колабораційну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як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Адже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виходячи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із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загальних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засад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права,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примусом, як правило,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виключає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взагалі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особи, про що буде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більш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детально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зазначено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нижче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19F7FCA4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Однак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існує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чималии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̆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ризик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притягнення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юридичноі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̈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осіб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недобровільні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взаємини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мала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другорядне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(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неістотне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)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значення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Доречним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буде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зазначити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якщо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громадянин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вчиняючи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колабораційну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фактично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волі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впливом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фізичного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та/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психічного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примусу, і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вимушено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заподіює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шкоду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національній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безпеці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то в такому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разі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наявна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одна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обставин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виключає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(ст. 40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урахуванням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положень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ст. 39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). </w:t>
      </w:r>
    </w:p>
    <w:p w14:paraId="59A3F0A6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Психологічний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фізичний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терор</w:t>
      </w:r>
      <w:proofErr w:type="spellEnd"/>
    </w:p>
    <w:p w14:paraId="0153FEAE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Інформація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Київщини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Харківщини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Херсонщини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свідчить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масовий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характер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фізичного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психологічного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примусу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місцевого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населення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: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катівні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, «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підвали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»,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масові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поховання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тощо. І все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відбувається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фоні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фізичного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знищення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«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незгодних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»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окупаційною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владою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меті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gram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 першу</w:t>
      </w:r>
      <w:proofErr w:type="gram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чергу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залякування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якомога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більшої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частини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населення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0E5DFBAE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Віталій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Миколайович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Духневич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досліджуючи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психологічні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явища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воєнного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конфлікту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використовує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термін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«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маскування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», яке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стосується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мешканців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насамперед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бояться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висловлювати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думку,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мотиви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наміри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публічному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просторі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«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маскування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»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здійснюється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заради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безпеки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безпеки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своїх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близьких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рідних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і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однією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із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стратегій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виживання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засобом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самозбереження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[*3, с. 13]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також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підтверджується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даними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фокус-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групи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  <w:hyperlink r:id="rId14" w:history="1"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 xml:space="preserve">«Думки та </w:t>
        </w:r>
        <w:proofErr w:type="spellStart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>настрої</w:t>
        </w:r>
        <w:proofErr w:type="spellEnd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 xml:space="preserve"> </w:t>
        </w:r>
        <w:proofErr w:type="spellStart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>жителів</w:t>
        </w:r>
        <w:proofErr w:type="spellEnd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 xml:space="preserve"> </w:t>
        </w:r>
        <w:proofErr w:type="spellStart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>окупованих</w:t>
        </w:r>
        <w:proofErr w:type="spellEnd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 xml:space="preserve"> </w:t>
        </w:r>
        <w:proofErr w:type="spellStart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>територій</w:t>
        </w:r>
        <w:proofErr w:type="spellEnd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>»</w:t>
        </w:r>
      </w:hyperlink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Опитування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свідчить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те,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громадяни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опинилися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територіях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бояться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висловлювати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думку,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самим «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підігрують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»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окупаційній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владі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 </w:t>
      </w:r>
    </w:p>
    <w:p w14:paraId="468D0AF8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Напрошується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висновок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те,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жахи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відбувалися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територіях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боротьба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збереження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життя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життя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своїх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близких створили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додатковий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каталізатор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частини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населення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окупантами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виключено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за таких умов,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якщо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людинаопинилася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фактично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полоні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уникнути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смерті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лише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одним шляхом – вступивши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ворогом.</w:t>
      </w:r>
    </w:p>
    <w:p w14:paraId="2BEA9962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Досліджуючи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психічний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стан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військовополонених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Юрій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Широбоков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зазначає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агресії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яка ставить за мету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захоплення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іншої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полон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системою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відбору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лояльних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кадрів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ведення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бойових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подальшого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управління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країною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[*6, с. 79].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Військовослужбовці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полоні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переживають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чітко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виражені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фази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психологічні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особливості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впливу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психіку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військовополонених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створює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унікальні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lastRenderedPageBreak/>
        <w:t>умови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схиляння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полоненого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Теж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саме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очевидно,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відбуватися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будь-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особою, яка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опинилася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ізоляції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морального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виснаження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знущань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знаходиться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тотальним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фізичним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психологічним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контролем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окупаційних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військ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Отже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припустити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найбільш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поширеною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окупантами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заради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gram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 першу</w:t>
      </w:r>
      <w:proofErr w:type="gram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чергу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фізичного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виживання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скоріш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 все, не повинно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отримувати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навіть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моральний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осуд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говорячи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караність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620B191E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якщо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уявити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до особи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застосовувались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тортури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фізичний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ж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психологічний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примус,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виключати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лише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виходячи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обставин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вона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опинилася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?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Мова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йде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крайньої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необхідності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(ст. 39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).</w:t>
      </w:r>
    </w:p>
    <w:p w14:paraId="5ECF8FE7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крайньої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необхідності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характерна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наявність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реальної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неминучої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небезпеки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заподіяння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шкоди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охоронюваним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законом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інтересам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протилежному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випадку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особа,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надаючи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допомогу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державі-агресору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окупантам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лише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допускаючи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вірогідність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того, що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подальшому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разі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певної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загрози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близьким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зможе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усунути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лише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завдяки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ворогом, буде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вчиняти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«колабораційна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».</w:t>
      </w:r>
    </w:p>
    <w:p w14:paraId="5BD0825C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gram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Для прикладу</w:t>
      </w:r>
      <w:proofErr w:type="gram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розглянемо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економічний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Відомо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значна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кількість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фізичних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осіб-підприємців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залишились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територіях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в тому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числі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Донбасі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Вони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продовжують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здійснювати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підприємницьку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звичайно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сплачуючи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податки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орендну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плату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користь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держави-агресора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окупаційної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фермери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перевізники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підприємці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займаються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сферою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послуг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(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ремонти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салони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краси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), сферою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торгівлі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громадського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харчування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очевидним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є те,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більшість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них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бажає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сприяти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ворогу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всупереч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інтересам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вони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переслідують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іншу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мету –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збереження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майна,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бізнесу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виплату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заробітної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плати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найманим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працівникам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тощо. Очевидно,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також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потребує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доказування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відмови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співпрацювати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змушені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були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виїхати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ж,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виключено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позбавились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майна через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незаконні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6925DD69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Таким чином,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зробити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висновок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необхідноврахування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умов,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опинилися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громадяни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територіях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тих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інших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обʼєктивних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субʼєктивних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причин (батьки-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інваліди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житло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неможливість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через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постійні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бойові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.)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змогли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виїхати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Фактично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опиняється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відсутності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свободи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вибору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становить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крайню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необхідність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6CABE4C0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надаючи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жодної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оцінки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далі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зазначеному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судовому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рішенню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лише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прикладу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розуміння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питання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крайньої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необхідності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звернемось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begin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instrText xml:space="preserve"> HYPERLINK "https://reyestr.court.gov.ua/Review/106413944" </w:instrText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separate"/>
      </w:r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ухвали</w:t>
      </w:r>
      <w:proofErr w:type="spellEnd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 xml:space="preserve"> одного з </w:t>
      </w:r>
      <w:proofErr w:type="spellStart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районних</w:t>
      </w:r>
      <w:proofErr w:type="spellEnd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судів</w:t>
      </w:r>
      <w:proofErr w:type="spellEnd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 xml:space="preserve"> м. </w:t>
      </w:r>
      <w:proofErr w:type="spellStart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Харкова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end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Суд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вирішив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питання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обрання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запобіжного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заходу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особі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обвинувачується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передбаченого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ч. 7 ст. 111-1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цьому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провадженні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підозрювалась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колабораційній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звʼязку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добровільним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зайняттям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посади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водія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незаконних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правоохоронних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органах,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створених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тимчасово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саме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Ізюмському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міському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райвідділі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міліції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управління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lastRenderedPageBreak/>
        <w:t>внутрішніх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справ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Харківській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області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ухвалі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суду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зазначено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мотив,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мета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зазначалося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вище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не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обовʼязковими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їхнє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встановлення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переконання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певних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обставин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можуть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суттєве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значення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правильної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кваліфікації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особи. Суд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своєму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рішенні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зазначив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підозрюваний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пенсіонером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За таких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обставин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відсутності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звʼязку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українськими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банківським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рахункам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виключено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отримував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пенсію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яка,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можливо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була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його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єдиним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джерелом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доходу.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Припустимо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захотів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зміг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лишати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будинок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погодився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працювати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водієм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незаконному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правоохоронному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органі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альтернативного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варіанту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працевлаштування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переслідуючи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мету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ворогом. За таких умов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обережністю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визнати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особа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крайньої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необхідності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виключає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настання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 </w:t>
      </w:r>
    </w:p>
    <w:p w14:paraId="19739143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</w:pPr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*3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В.М.Духневич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«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Особливості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політико-правових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уявлень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громадян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гібридної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війни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» («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Негативні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психологічні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явища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політико-правовій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сфері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воєнного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конфлікту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», В.М.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Духневич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О.М.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Кочубейник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О.Ю.Осадько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З.Ф.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Сіверс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за ред. В.М.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Духневича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Національна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академія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педагогічних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наук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Інститут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соціальної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політичної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психології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Кропивницький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Імекс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-ЛТД, 2020 р. – 188 с. </w:t>
      </w:r>
    </w:p>
    <w:p w14:paraId="01988665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</w:pPr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*6 Широбоков Ю. «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Психологічні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умови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колобарації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військовополонених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зоні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проведення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антитерористичної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операції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»;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Теорія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і практика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управління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соціальними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системами: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філософія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психологія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педагогіка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соціологія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, № 3, 2017</w:t>
      </w:r>
    </w:p>
    <w:p w14:paraId="53687601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noProof/>
          <w:color w:val="0000FF"/>
          <w:sz w:val="27"/>
          <w:szCs w:val="27"/>
          <w:lang w:val="ru-RU" w:eastAsia="ru-RU"/>
        </w:rPr>
        <w:drawing>
          <wp:inline distT="0" distB="0" distL="0" distR="0" wp14:anchorId="3F62E4BB" wp14:editId="0CFC71D7">
            <wp:extent cx="5836920" cy="3392710"/>
            <wp:effectExtent l="0" t="0" r="0" b="0"/>
            <wp:docPr id="4" name="Рисунок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519" cy="34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Гітлерівська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адміністрація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Банковій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Фото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колекції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Штефана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Машкевича</w:t>
      </w:r>
      <w:proofErr w:type="spellEnd"/>
    </w:p>
    <w:p w14:paraId="6983EFBC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Історія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сьогодення</w:t>
      </w:r>
      <w:proofErr w:type="spellEnd"/>
    </w:p>
    <w:p w14:paraId="0590EFC5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Валентина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Олексіївна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Шайкан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,</w:t>
      </w:r>
      <w:proofErr w:type="gram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досліджуючи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явище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роки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Другої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світової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війни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зазначає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побутовому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рівні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–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суспільно-психологічне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явище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виникає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час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збройного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конфлікту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Так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інакше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стосунки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між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окупаційною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армією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місцевим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населенням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можуть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виникати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тому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ворожій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армії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необхідно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розміститись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потрібна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вода,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їжа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тепло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Автор,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розкриваючи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зміст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побутового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звертається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спогадів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німецьких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військових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: «Вони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згадували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стару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жінку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яка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прифронтовій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зоні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турботливо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топила для них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піч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гріла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воду,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щоб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зігрівшись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знову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йшли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воювати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співвітчизників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gram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lastRenderedPageBreak/>
        <w:t>і ,</w:t>
      </w:r>
      <w:proofErr w:type="gram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можливо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синів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ситуація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давала спокою 19-річному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німецькому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офіцеру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замислювався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над парадоксами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війни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». [*4, с. 335]</w:t>
      </w:r>
    </w:p>
    <w:p w14:paraId="244AFE55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можемо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зазначений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приклад перенести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сьогодення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?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Уявна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бабуся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селі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Харківщині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дала молоко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овочі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військовим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«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завітали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» і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залишились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ночувати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Власник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автобусу одноразово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підвіз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військових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РФ,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надав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каністру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палива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яка формально 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обʼєктивними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ознаками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підпадає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колабораційну,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передбачену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ч. 4 ст. 111-1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вважати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злочинною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? Або ж особа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влаштувалася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прибиральницею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незаконному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суді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створеному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тимчасово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–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тобто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фактично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вчинила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передбачений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ч. 7 ст. 111-1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все ж таки, вони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становлять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суспільної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небезпеки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тобто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заподіюють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можуть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заподіяти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істотної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шкоди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визначенням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ч. 2 ст. 11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становлять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малозначне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виключають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протиправність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6C0BCB55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В ЄДРСР є приклад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застосування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запобіжного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заходу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щодо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підозрюваної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яка надавала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допомогу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окупантам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побутовому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рівні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: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готувала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їжу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віддала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гараж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зберігання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продовольчих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матеріалів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палива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противагу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наведеним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вище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прикладам,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систематичний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тривалий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характер.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Також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судом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враховано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мету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саме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надання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допомоги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представникам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збройних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сил РФ,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мотиви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–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підтримка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виправдовування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рішень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РФ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спрямованих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агресію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Тому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цьому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випадку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вважати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правильною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кваліфікацію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їхніх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як </w:t>
      </w:r>
      <w:hyperlink r:id="rId17" w:history="1"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 xml:space="preserve">колабораційна </w:t>
        </w:r>
        <w:proofErr w:type="spellStart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>діяльність</w:t>
        </w:r>
        <w:proofErr w:type="spellEnd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 xml:space="preserve"> за ч. 4 ст. 111-1 КК </w:t>
        </w:r>
        <w:proofErr w:type="spellStart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>України</w:t>
        </w:r>
        <w:proofErr w:type="spellEnd"/>
      </w:hyperlink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 </w:t>
      </w:r>
    </w:p>
    <w:p w14:paraId="1B846E86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Слід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зупинитися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також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питанні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повʼязаного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ризиком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(ч. 1 ст. 42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).</w:t>
      </w:r>
    </w:p>
    <w:p w14:paraId="4290BADC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огляду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те,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переважна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більшість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проваджень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щодо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колабораційної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розглядається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відсутності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особи, яка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притягується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(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in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absentia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),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неможливо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фактично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зʼясувати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істинні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мотиви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мету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Тому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гіпотетично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уявити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що, для прикладу,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поліцейський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погодився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зайняття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посади в органах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насправді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єдиною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його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метою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було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отримання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принаймні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деякий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час, доступу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документів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в тому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числі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тих, що становили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державну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таємницю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електронних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баз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з метою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їх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подальшого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знищення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вивезення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тощо, та 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відсутності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інших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обʼєктивних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можливостей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отримати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доступ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вказаних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наявності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достатніх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доказів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вказаних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обставин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будуть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кримінально-протиправний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характер та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можливо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кваліфікувати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як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виправданого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begin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instrText xml:space="preserve"> HYPERLINK "https://zakon.rada.gov.ua/laws/show/2341-14?find=1&amp;text=%D1%80%D0%B8%D0%B7%D0%B8%D0%BA" \l "w1_3" </w:instrText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separate"/>
      </w:r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 </w:t>
      </w:r>
      <w:proofErr w:type="spellStart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ризик</w:t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end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 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досягнення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значної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суспільно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корисної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мети.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час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кваліфікації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вирішальним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буде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подальша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поведінка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особи: як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довго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вона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співпрацювала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окупантами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виїхала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вона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потім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тощо. Тому, на мою думку,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вироках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притягнення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осіб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погодилися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окупантами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 ч. 7 ст. 111-1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цілком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правильною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вказівка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те,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саме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виконувала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особа,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перебуваючи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посаді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мали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тривалий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характер. </w:t>
      </w:r>
    </w:p>
    <w:p w14:paraId="455D5BE5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</w:pPr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*4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Шайкан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В.О.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Колабораціонізм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території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рейхскомісаріату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«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Україна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» та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військової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зони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період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Другої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світової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війни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Монографія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. –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Кривий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Ріг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: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Мінерал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, 2005. – 466 с.  </w:t>
      </w:r>
    </w:p>
    <w:p w14:paraId="299B2F18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lastRenderedPageBreak/>
        <w:t>Індивідуальний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підхід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 </w:t>
      </w:r>
    </w:p>
    <w:p w14:paraId="416A6976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noProof/>
          <w:color w:val="0000FF"/>
          <w:sz w:val="27"/>
          <w:szCs w:val="27"/>
          <w:lang w:val="ru-RU" w:eastAsia="ru-RU"/>
        </w:rPr>
        <w:drawing>
          <wp:inline distT="0" distB="0" distL="0" distR="0" wp14:anchorId="6DA63E22" wp14:editId="6D133C78">
            <wp:extent cx="2993960" cy="4493749"/>
            <wp:effectExtent l="0" t="0" r="0" b="2540"/>
            <wp:docPr id="5" name="Рисунок 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62" cy="451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Затримання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«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фінансистки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»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колишньої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окупаційної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адміністрації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Куп’янська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 Фото: СБУ</w:t>
      </w:r>
    </w:p>
    <w:p w14:paraId="2A5CA11F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Також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декілька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слів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хотілось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сказати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посткримінальну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поведінку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особи, як акт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свідомої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вольової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людини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поведінка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бути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підставою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звільнення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приміром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дійове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каяття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3E9DE027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Цікавим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приклад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судової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практики, коли суд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першої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інстанції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підставі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  <w:hyperlink r:id="rId20" w:history="1"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 xml:space="preserve">ст. 45 КК </w:t>
        </w:r>
        <w:proofErr w:type="spellStart"/>
        <w:r w:rsidRPr="00D824F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val="ru-RU" w:eastAsia="ru-RU"/>
          </w:rPr>
          <w:t>України</w:t>
        </w:r>
        <w:proofErr w:type="spellEnd"/>
      </w:hyperlink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звільнив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особу, яка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обвинувачувалась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передбаченого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ч. 1 ст. 111-1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після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того, як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видалив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аккаунт (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обліковий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запис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)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соціальній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мережі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«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Однокласники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», активно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сприяв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розкриттю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відшкодував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завдані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збитки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,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begin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instrText xml:space="preserve"> HYPERLINK "https://reestr.court.gov.ua/Review/105342673" </w:instrText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separate"/>
      </w:r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апеляційний</w:t>
      </w:r>
      <w:proofErr w:type="spellEnd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 xml:space="preserve"> суд</w:t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end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 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висновками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місцевого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суду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погодився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мотивуючи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рішення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так: «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Місцевий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суд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залишив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поза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увагою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об’єктом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кримінальних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правопорушень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передбачених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ст.111-1 КК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є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основи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національної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безпеки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тобто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злочинні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винної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особи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спрямовані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цьому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випадку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проти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конкретного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потерпілого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чи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майна, 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посягають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цілому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інтереси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держави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усіх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її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громадян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яким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завдає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такої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шкоди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яку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вже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неможливо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усунути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Колегія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суддів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враховує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ОСОБА_2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проступку в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воєнного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стану,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введеного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території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з 24.02.2022. За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вказаних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обставин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суд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апеляційної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інстанції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приходить до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висновку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районний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суд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упереджено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підійшов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оцінки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щирого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lastRenderedPageBreak/>
        <w:t>каяття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ОСОБА_2 та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обставин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умовах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воєнного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стану. В кожному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випадку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як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підкреслює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Європейський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суд з прав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людини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суд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своїм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рішенням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повинен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забезпечити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тільки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права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підозрюваного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а й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високі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стандарти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охорони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загальносуспільних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прав та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інтересів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»</w:t>
      </w:r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. </w:t>
      </w:r>
    </w:p>
    <w:p w14:paraId="49AD135B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Наведені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приклади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дають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можливість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зробити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висновок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те,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першочерговим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категорії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справ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необхідність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доведення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субʼєктивного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ставлення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особи, яка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обвинувачується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ж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підозрюється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колабораційної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Врахування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психоемоційного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стану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громадян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стали на шлях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 –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вкрай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важливо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оскільки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якщо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виправдати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то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пояснити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особи. До кожного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випадку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необхідно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підходити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індивідуально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Як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слушно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зауважує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begin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instrText xml:space="preserve"> HYPERLINK "https://vim.gov.ua/pages/_journal_files/31.10.2018/pdf/VIM_21_2018-56-73.pdf" </w:instrText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separate"/>
      </w:r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Віталій</w:t>
      </w:r>
      <w:proofErr w:type="spellEnd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0000FF"/>
          <w:sz w:val="27"/>
          <w:szCs w:val="27"/>
          <w:u w:val="single"/>
          <w:lang w:val="ru-RU" w:eastAsia="ru-RU"/>
        </w:rPr>
        <w:t>Горобець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fldChar w:fldCharType="end"/>
      </w: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проблеми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одними лекалами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підходити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У поле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репресій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повинні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потрапити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безвинні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люди, долю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і так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скалічила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війна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допустити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колективної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відповідальності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всіх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осіб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опинилися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територіях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0FCC6613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Відомо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обвинуваченням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«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зрадництві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пособництві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окупантам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» з 1943 по 1957 р.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включно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за документами СБУ,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було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заарештовано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й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засуджено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80581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осіб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що становило 39,9%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загальної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кількості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заарештованих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осіб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[*4, с. 381]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зазначає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Валентина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Олексіївна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Шайкан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,</w:t>
      </w:r>
      <w:proofErr w:type="gram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значна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кількість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засуджених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свідчить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лише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прагнення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влади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покарати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справжніх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злочинців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але й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помилки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правосуддя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ставали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багатьох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засуджених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фатальними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[*4, с. 378]</w:t>
      </w:r>
    </w:p>
    <w:p w14:paraId="2F749C7A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сучасній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 і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Європі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після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Другої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світової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війни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суспільний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запит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відновлення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справедливості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покарання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винних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злочинах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скоєних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час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війни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дуже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високий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Безспірним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те, що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можна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залишати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безкарними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таке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ганебне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явище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сьогодення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як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Але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задоволення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цього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запиту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повинно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створювати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ризику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масового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нерозбірливого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переслідування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підозрою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чого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ще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раз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підкреслю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вкрай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важливим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врахування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умов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жорстокого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окупаційного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режиму, в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яких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опинилися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громадяни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власної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волі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а тому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ще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більш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детального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зʼясування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потребують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всі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ознаки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субʼєктивної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сторони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цього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складу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Це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надасть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можливість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відмежувати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свідомий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від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вимушеної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ворогом, яка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обовʼязково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протиправний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характер.</w:t>
      </w:r>
    </w:p>
    <w:p w14:paraId="27A3C94A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Можливим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механізмом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зменшення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безпідставних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обвинувачень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колабораційній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є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закріплення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законодавчому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рівні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мети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правопорушення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яка б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була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обовʼязковою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для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всіх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складів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кримінальних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проступків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злочинів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передбачених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ст. 111-1 КК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України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: особа,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вчиняючи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колабораційну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має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не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тільки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свідомо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й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добровільно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співпрацювати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ворогом, але й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обовʼязково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діяти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його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інтересах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та на шкоду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своїй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державі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. Тим самим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наблизити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національне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законодавство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загальноприйнятого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трактування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колабораціонізму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позиції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міжнародного</w:t>
      </w:r>
      <w:proofErr w:type="spellEnd"/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права.</w:t>
      </w:r>
    </w:p>
    <w:p w14:paraId="516DF4F9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</w:pPr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lastRenderedPageBreak/>
        <w:t>*4 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Шайкан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В.О.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Колабораціонізм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території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рейхскомісаріату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«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Україна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» та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військової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зони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період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Другої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світової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війни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Монографія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. –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Кривий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Ріг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 xml:space="preserve">: </w:t>
      </w:r>
      <w:proofErr w:type="spellStart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Мінерал</w:t>
      </w:r>
      <w:proofErr w:type="spellEnd"/>
      <w:r w:rsidRPr="00D824F3">
        <w:rPr>
          <w:rFonts w:ascii="Calibri" w:eastAsia="Times New Roman" w:hAnsi="Calibri" w:cs="Calibri"/>
          <w:b/>
          <w:bCs/>
          <w:color w:val="333333"/>
          <w:sz w:val="15"/>
          <w:szCs w:val="15"/>
          <w:lang w:val="ru-RU" w:eastAsia="ru-RU"/>
        </w:rPr>
        <w:t>, 2005. – 466 с.  </w:t>
      </w:r>
    </w:p>
    <w:p w14:paraId="025BCD2D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</w:p>
    <w:p w14:paraId="16DAED39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</w:p>
    <w:p w14:paraId="67CB6E30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Дана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публікація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стала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можливою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завдяки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підтримці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американського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народу,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наданій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через Агентство США з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міжнародного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розвитку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(USAID) в рамках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Програми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«Права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людини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в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дії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», яка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виконується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Українською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Гельсінською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спілкою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з прав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людини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. </w:t>
      </w:r>
    </w:p>
    <w:p w14:paraId="024F070D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Погляди та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інтерпретації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представлені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цій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публікації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не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обов’язково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відображають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погляди USAID, Уряду США.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Відповідальність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за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вміст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публікації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несуть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виключно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автори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та УГСПЛ.</w:t>
      </w:r>
    </w:p>
    <w:p w14:paraId="2CCE2882" w14:textId="77777777" w:rsidR="00D824F3" w:rsidRPr="00D824F3" w:rsidRDefault="00D824F3" w:rsidP="00D824F3">
      <w:pPr>
        <w:shd w:val="clear" w:color="auto" w:fill="F9F5E9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У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світі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USAID є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однією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провідних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установ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сфері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розвитку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яка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виконує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роль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каталізатора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цих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процесів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допомагає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досягати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позитивних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результатів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.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USAID є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проявом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доброчинності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американського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народу, 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також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підтримує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просування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країн-отримувачів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допомоги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самостійності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стійкості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сприяє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забезпеченню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національної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безпеки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економічного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добробуту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США.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Партнерські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стосунки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з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Україною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USAID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підтримує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з 1992 року; за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цей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час,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загальна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вартість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допомоги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наданої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Україні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з боку Агентства,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склала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понад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3 млрд.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доларів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США. До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поточних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стратегічних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пріоритетів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діяльності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USAID в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Україні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належать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зміцнення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демократії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механізмів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досконалого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врядування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сприяння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економічному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розвитку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енергетичній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безпеці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вдосконалення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систем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охорони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здоров’я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пом’якшення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наслідків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конфлікту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східних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регіонах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. Для того,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щоб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отримати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додаткову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інформацію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про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діяльність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USAID, просимо Вас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звертатися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до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Відділу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зв’язків з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громадськістю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Місії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USAID в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Україні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за тел. (+38 044) 521-57-53.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Також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пропонуємо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завітати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на наш вебсайт: http://www.usaid.gov/ukraine,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або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на </w:t>
      </w:r>
      <w:proofErr w:type="spellStart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сторінку</w:t>
      </w:r>
      <w:proofErr w:type="spellEnd"/>
      <w:r w:rsidRPr="00D824F3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 xml:space="preserve"> у Фейсбук: https://www.facebook.com/USAIDUkraine.</w:t>
      </w:r>
    </w:p>
    <w:p w14:paraId="592F0AD3" w14:textId="506B639C" w:rsidR="00117903" w:rsidRPr="00D824F3" w:rsidRDefault="00117903" w:rsidP="00D824F3">
      <w:pPr>
        <w:spacing w:after="0" w:line="240" w:lineRule="auto"/>
        <w:ind w:firstLine="709"/>
        <w:jc w:val="both"/>
        <w:rPr>
          <w:lang w:val="ru-RU"/>
        </w:rPr>
      </w:pPr>
    </w:p>
    <w:sectPr w:rsidR="00117903" w:rsidRPr="00D8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E7"/>
    <w:rsid w:val="000F231D"/>
    <w:rsid w:val="00117903"/>
    <w:rsid w:val="003319EE"/>
    <w:rsid w:val="0051394D"/>
    <w:rsid w:val="005472E7"/>
    <w:rsid w:val="007A6ECD"/>
    <w:rsid w:val="00CB6428"/>
    <w:rsid w:val="00D824F3"/>
    <w:rsid w:val="00D92143"/>
    <w:rsid w:val="00E2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3A40"/>
  <w15:chartTrackingRefBased/>
  <w15:docId w15:val="{1F0E2F9E-759A-4630-9977-A3A11CD6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s://helsinki.org.ua/wp-content/uploads/2022/12/photo_2022-12-19_12-00-14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elsinki.org.ua/wp-content/uploads/2022/12/photo_2022-12-12_16-30-46.jpg" TargetMode="External"/><Relationship Id="rId12" Type="http://schemas.openxmlformats.org/officeDocument/2006/relationships/hyperlink" Target="https://helsinki.org.ua/wp-content/uploads/2022/12/photo_2022-11-30_14-00-07.jpg" TargetMode="External"/><Relationship Id="rId17" Type="http://schemas.openxmlformats.org/officeDocument/2006/relationships/hyperlink" Target="https://reyestr.court.gov.ua/Review/10640211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reyestr.court.gov.ua/Review/106402111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2021" TargetMode="External"/><Relationship Id="rId11" Type="http://schemas.openxmlformats.org/officeDocument/2006/relationships/hyperlink" Target="https://zakon.rada.gov.ua/laws/show/2341-1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elsinki.org.ua/wp-content/uploads/2022/12/45400927_260533761198838_129064673482899456_n.jpg" TargetMode="External"/><Relationship Id="rId10" Type="http://schemas.openxmlformats.org/officeDocument/2006/relationships/hyperlink" Target="https://zakon.rada.gov.ua/laws/show/2341-14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s://helsinki.org.ua/wp-content/uploads/2022/12/thumbnail_1000004726.jpg" TargetMode="External"/><Relationship Id="rId9" Type="http://schemas.openxmlformats.org/officeDocument/2006/relationships/hyperlink" Target="https://www.npu.gov.ua/news/zlochyny-vchyneni-viiskovymy-rf-pid-chas-povnomasshtabnoho-vtorhnennia-v-ukrainu-stanom-na-27112022" TargetMode="External"/><Relationship Id="rId14" Type="http://schemas.openxmlformats.org/officeDocument/2006/relationships/hyperlink" Target="https://uifuture.org/analitychni-materialy/fokus-grupi-dumki-ta-nastroyi-zhiteliv-okupovanix-teritorij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4247</Words>
  <Characters>29647</Characters>
  <Application>Microsoft Office Word</Application>
  <DocSecurity>0</DocSecurity>
  <Lines>559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Петров</dc:creator>
  <cp:keywords/>
  <dc:description/>
  <cp:lastModifiedBy>Володимир Петров</cp:lastModifiedBy>
  <cp:revision>1</cp:revision>
  <dcterms:created xsi:type="dcterms:W3CDTF">2023-03-26T21:18:00Z</dcterms:created>
  <dcterms:modified xsi:type="dcterms:W3CDTF">2023-03-26T21:41:00Z</dcterms:modified>
</cp:coreProperties>
</file>