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5E" w:rsidRDefault="003D75FA" w:rsidP="003D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F60CF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D75FA" w:rsidRPr="00F60CFB" w:rsidRDefault="003D75FA" w:rsidP="003D75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F60CFB">
        <w:rPr>
          <w:rFonts w:ascii="Times New Roman" w:hAnsi="Times New Roman" w:cs="Times New Roman"/>
          <w:b/>
          <w:sz w:val="28"/>
          <w:szCs w:val="28"/>
          <w:lang w:val="uk-UA"/>
        </w:rPr>
        <w:t>Ігротерапія</w:t>
      </w:r>
    </w:p>
    <w:p w:rsidR="003D75FA" w:rsidRDefault="003D75FA" w:rsidP="003D75F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75FA" w:rsidRDefault="00BD108E" w:rsidP="003D75F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CB43F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BD108E" w:rsidRDefault="009F02E0" w:rsidP="00BD10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запропоновані вправи</w:t>
      </w:r>
      <w:r w:rsidR="00BD10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їх користь та значущість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ігротерапейтичному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Вправа “Підтримка” (“Чарівне коло”)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Мета: вчити дітей довіряти один одному.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“Діти, встаньте в коло. Це буде чарівне коло, тому що діти, які стоять у колі, будуть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робити все для того, щоб той хто стоїть у центрі, пережив чудові пригоди і відчуття. Хто з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вас першим хотів би стати в середину?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(ім’я дитини) становись точнісінько в середину кола, ноги постав разом. І тримайся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прямо. А всі інші, що стоять тісним колом, піднімають руки на рівні грудей (зразок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демонструється). Коли той, хто стоїть у середині, падатиме в ваш бік, ви маєте його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піймати і обережно вернути в центр кола”.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Вправа “Стільчик любові”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Мета: вчити дітей приділяти увагу іншим і отримувати увагу на свою адресу.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 центрі кола ставиться стільчик.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“Діти, це стільчик не простий, це стільчик любові. Хто хоче першим посидіти на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ньому і отримати від оточуючих ласку, тепло і любов?.. Сідай, (ім’я дитини), заплющ очі, і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не відкривай, доки я не скажу. А ви, дітки, тихенько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підійдіть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і ніжно-ніжно погладьте її по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плечах, спинці. А тепер тихесенько навшпиньки повертайтеся на свої місця… (ім’я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дитини, яка сидить на стільчику в центрі кола), відкривай очі і розкажи нам, чи сподобався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тобі “Стільчик любові”?</w:t>
      </w:r>
    </w:p>
    <w:p w:rsidR="005523A7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Хто ще хоче посидіти на цьому стільчику?”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Вправа “Царівна </w:t>
      </w:r>
      <w:proofErr w:type="spellStart"/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Несміяна</w:t>
      </w:r>
      <w:proofErr w:type="spellEnd"/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Мета: вчити дітей приділяти увагу іншим і отримувати увагу на свою адресу.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 центрі кола також ставиться стільчик. На нього сідає дитина (це буде Царівна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Несміяна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). Для того, щоб розвеселити царівну, треба говорити їй добрі слова про те, яка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вона гарна. Діти по черзі говорять їй про її гарні якості.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Вправа “Корови – собаки </w:t>
      </w: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–</w:t>
      </w: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кішки”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Мета: вчити дітей бути уважними один до одного.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“Діти, встаньте, будь ласка, широким колом. Я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підійду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до кожного з вас і тихенько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скажу на вушко назву якої-небудь тварини. Добре запам’ятайте її, тому що потім вам треба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буде перетворитися на цю тваринку. Ні кому поки що не говоріть те, що я вам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нашепотіла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.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” – Педагог по черзі шепоче дітям на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lastRenderedPageBreak/>
        <w:t>вушко: (“Ти будеш коровою”, “Ти будеш собакою”,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“Ти будеш кішкою”). – “Тепер закрийте очі.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Забудьте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на якийсь час людську мову. За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хвилину попрошу вас “заговорити” так, як “говорить” ваша тваринка. Вам треба, не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відкриваючи очей, об’єднатися у групи з усіма тими тваринками, які “говорять” так само,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як і ви. Ви можете ходити по кімнаті і, почувши свою тваринку, рухатися їй назустріч.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Потім, взявшись за руки, ви йдете вже вдвох і разом подаєте звук цієї тваринки, щоб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знайти інших дітей, які “говорять” на вашій мові.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Готові? Всі закрили очі? Приготуйте вушка і слухайте звуки, які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іздають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корова,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собака і кішка. Почали!”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Вправа “Три обличчя”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Мета: вчити дітей бути уважними один до одного.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“Я покажу вам три вирази обличчя. При цьому я хочу, щоб ви відгадали, який вираз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обличчя я показую.</w:t>
      </w:r>
    </w:p>
    <w:p w:rsidR="009F02E0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Показую перший раз (сумне). Який вираз обличчя я намагалася вам показати?.. Вірно,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сумне обличчя. Які жести руками нам краще всього робити, щоб виразити сум? Нехай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кожен із вас зробить сумне обличчя.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Показую другий раз (зле). А тепер?.. Вірно, зле обличчя. Давайте всі зведемо брови,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оскалимо зуби і стиснемо кулаки – покажемо зле обличчя.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А тепер третє обличчя (радісне, щасливе). Яке?.. Так, щасливе. Для цього давайте всі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широко всміхнемося і притиснемо руки до серця.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Давайте спробуємо ще раз: сумне, зле, щасливе.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Тепер об’єднайтеся у пари і встаньте один до одного спинами. Виберіть одне із трьох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облич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, яке ми показували. Коли я дорахую до трьох, вам треба буде швидко повернутися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один до одного і показати обраний вами вираз обличчя. Завдання полягає в тому, щоб, не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домовляючись заздалегідь, показати те саме обличчя, що і ваш партнер.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Готові? Раз, два, три, початок гри!”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Вправа “Самоповага”.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Мета: вчити дітей самоповаги.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“Чи можете ви мені сказати, яким чином ви помічаєте, що хтось вважає вас дійсно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хорошим?.. Як вам показують це мама, тато, бабуся, дідусь?..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Зараз сядьте зручніше і заплющить очі. Зробіть три глибоких вдихи… Тепер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відправтеся подумки у те місце, яке вважаєте найкращим… Добре роздивіться навкруги…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Що чуєте?... Чим там пахне?.. До чого хочеться доторкнутися?...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Скоро ви побачите двох людей, які вас цінують і поважають, які радіють, коли ви з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ними поруч, які знають, якими ви можете бути уважними до людей і якими добрими…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Подивіться навкруги, і ви побачите, як ці люди підходять до вас, щоб показати, що вони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вважають вас гарними…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Послухайте, що вони кажуть…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Поговоріть з людиною, яка до вас підійшла. Спитайте у неї, чи не розповість вона про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те, як вона до вас ставиться…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Тепер попрощайтеся з цими людьми, які приходили до вас, і підготуйтеся до того,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щоб знову повернутися сюди бадьорими і повним сил. Потягніться, і відкрийте очі…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Ви можете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lastRenderedPageBreak/>
        <w:t>розказати нам про те, що ви пережили за ці хвилини. Хто до вас приходив?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Що сказала ця людина? Чи подякували ви їй за те, що вона так до вас відноситься?”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Вправа “Добре тепло”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“Давайте зараз станемо у коло і ніжно візьмемося за руки. Від мене вправо піде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“тепло”, я легенько потисну своєму сусідові справа руку, він – своєму сусіду, і так далі по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колу. Давайте спробуємо.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А тепер теж саме, але вже з заплющеними очима. Подивіться, відчуйте, як дружно у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нас виходить. Подякуйте один одному!”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Вправа “Сліпий і поводир”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Мета: вчити дітей довіряти один одному.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Одному із дітей за бажанням зав’язують очі. Він “сліпий”. Другий буде тим, хто його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водитиме – “поводирем”.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Як тільки зазвучить музика, “поводир” бережно поведе “сліпого”, надаючи йому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можливість торкатися будь-яких речей – великих, маленьких, гладких, шорсткуватих,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колючих, холодних тощо. Можна також підвести “сліпого” до місця, де предмети мають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запахи. Тільки нічого не можна говорити при цьому.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Коли через деякий час (до 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3 хв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) музика виключається, діти міняються ролями. А коли ще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раз виключається музика (ще 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3 хв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), вони повертаються у коло і говорять про те, що вони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пережили під час прогулянки.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Гра “Кого не вистачає?”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Мета: вчити дітей бути уважними один до одного.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“Діти, чи помічаєте ви, коли у групі когось із дітей не вистачає? Я хочу пограти з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вами в таку гру: один з вас буде ховатися, а всі інші – відгадувати, хто саме заховався.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Спочатку я попрошу усіх закрити очі і, поки ніхто не бачить, тихенько торкнуся до плеча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одного з вас. Той, кого я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оберу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, має відкрити очі, тихо вийти на середину кола і сховатися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під цим покривалом. Після того, як він сховається, я попрошу всіх відкрити очі і відгадати,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кого не вистачає. А тепер закриваємо очі і починаємо гру… 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Вправа “Приємні побажання”</w:t>
      </w:r>
    </w:p>
    <w:p w:rsidR="00757006" w:rsidRPr="009F02E0" w:rsidRDefault="00757006" w:rsidP="007570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</w:pP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Діти, давайте сплетемо павутинку приємних побажань. Педагог починає: фіксує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кінець нитки з клубка собі на палець, перекочує клубочок до дитини, говорячи їй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побажання. Дитина зафіксовує ниточку на своє пальчику, перекочує клубочок іншій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дитині, говорячи побажання і </w:t>
      </w:r>
      <w:proofErr w:type="spellStart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т.д</w:t>
      </w:r>
      <w:proofErr w:type="spellEnd"/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. плететься павутинка.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Останнє побажання має бути адресовано педагогу, щоб замкнути павутинку.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Можна використовувати замість клубка м’ячик, або просто без атрибутики говорити</w:t>
      </w:r>
      <w:r w:rsidR="009F02E0"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</w:t>
      </w:r>
      <w:r w:rsidRPr="009F02E0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>побажання словами.</w:t>
      </w:r>
    </w:p>
    <w:p w:rsidR="009F02E0" w:rsidRDefault="009F02E0" w:rsidP="006D262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2622" w:rsidRDefault="006D2622" w:rsidP="006D262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813D97" w:rsidRPr="00756748" w:rsidRDefault="00813D97" w:rsidP="00813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10 «Ігротерапія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56748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завдань. Зразок оформлення матеріалів поданий нижче. </w:t>
      </w:r>
    </w:p>
    <w:p w:rsidR="00813D97" w:rsidRPr="00194D3D" w:rsidRDefault="00813D97" w:rsidP="00813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D97" w:rsidRPr="00194D3D" w:rsidRDefault="00813D97" w:rsidP="00813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 w:rsidRPr="00194D3D"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813D97" w:rsidRPr="00194D3D" w:rsidRDefault="00813D97" w:rsidP="00813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813D97" w:rsidRPr="00194D3D" w:rsidRDefault="00813D97" w:rsidP="00813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813D97" w:rsidRPr="00194D3D" w:rsidRDefault="00813D97" w:rsidP="00813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813D97" w:rsidRPr="00194D3D" w:rsidRDefault="00813D97" w:rsidP="0081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813D97" w:rsidRPr="00194D3D" w:rsidRDefault="00813D97" w:rsidP="00813D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813D97" w:rsidRPr="00194D3D" w:rsidRDefault="00813D97" w:rsidP="00813D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813D97" w:rsidRPr="00194D3D" w:rsidRDefault="00813D97" w:rsidP="00813D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3D"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813D97" w:rsidRPr="007163C4" w:rsidRDefault="00813D97" w:rsidP="00813D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C4"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  <w:r w:rsidRPr="0071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C09" w:rsidRPr="0016114F" w:rsidRDefault="00C10C09" w:rsidP="005523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0C09" w:rsidRPr="0016114F" w:rsidSect="005523A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0A1"/>
    <w:multiLevelType w:val="hybridMultilevel"/>
    <w:tmpl w:val="5C220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21888"/>
    <w:multiLevelType w:val="hybridMultilevel"/>
    <w:tmpl w:val="AC7238EC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5A3CA0"/>
    <w:multiLevelType w:val="hybridMultilevel"/>
    <w:tmpl w:val="F608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70EEC"/>
    <w:multiLevelType w:val="hybridMultilevel"/>
    <w:tmpl w:val="3CE45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A967BF"/>
    <w:multiLevelType w:val="hybridMultilevel"/>
    <w:tmpl w:val="B2E205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801EB2"/>
    <w:multiLevelType w:val="hybridMultilevel"/>
    <w:tmpl w:val="9684B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9437A7E"/>
    <w:multiLevelType w:val="hybridMultilevel"/>
    <w:tmpl w:val="FDDE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9"/>
    <w:rsid w:val="00160DAB"/>
    <w:rsid w:val="0016114F"/>
    <w:rsid w:val="002035FA"/>
    <w:rsid w:val="0032315E"/>
    <w:rsid w:val="00394D21"/>
    <w:rsid w:val="003A6035"/>
    <w:rsid w:val="003B3B9D"/>
    <w:rsid w:val="003D75FA"/>
    <w:rsid w:val="00502330"/>
    <w:rsid w:val="005206E0"/>
    <w:rsid w:val="005523A7"/>
    <w:rsid w:val="006D2622"/>
    <w:rsid w:val="00757006"/>
    <w:rsid w:val="007E0DD3"/>
    <w:rsid w:val="007E103C"/>
    <w:rsid w:val="00813D97"/>
    <w:rsid w:val="009F02E0"/>
    <w:rsid w:val="00AC4F6E"/>
    <w:rsid w:val="00B02959"/>
    <w:rsid w:val="00BD108E"/>
    <w:rsid w:val="00C10C09"/>
    <w:rsid w:val="00C80ACA"/>
    <w:rsid w:val="00CB43F4"/>
    <w:rsid w:val="00CF2E02"/>
    <w:rsid w:val="00D37823"/>
    <w:rsid w:val="00D9285D"/>
    <w:rsid w:val="00DC533B"/>
    <w:rsid w:val="00DC794C"/>
    <w:rsid w:val="00EC3AF4"/>
    <w:rsid w:val="00F60CFB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589"/>
  <w15:chartTrackingRefBased/>
  <w15:docId w15:val="{DF4B896E-793A-49AF-A5AA-A98FCAAF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2023-09-28T05:08:00Z</dcterms:created>
  <dcterms:modified xsi:type="dcterms:W3CDTF">2023-10-15T06:15:00Z</dcterms:modified>
</cp:coreProperties>
</file>