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EACB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</w:pPr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 xml:space="preserve">Не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>всі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>злочини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>проти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>власності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 xml:space="preserve">, що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>вчиняються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>під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 xml:space="preserve"> час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>воєнного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 xml:space="preserve"> стану, є мародерством: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>суддя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kern w:val="36"/>
          <w:sz w:val="48"/>
          <w:szCs w:val="48"/>
          <w:lang w:eastAsia="ru-RU"/>
        </w:rPr>
        <w:t xml:space="preserve"> ВС</w:t>
      </w:r>
    </w:p>
    <w:p w14:paraId="0BB0B2B3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Відповідно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до ст. 432 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fldChar w:fldCharType="begin"/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instrText xml:space="preserve"> HYPERLINK "https://ips.ligazakon.net/document/view/T012341?utm_source=jurliga.ligazakon.net&amp;utm_medium=news&amp;utm_content=jl03" </w:instrText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fldChar w:fldCharType="separate"/>
      </w:r>
      <w:r w:rsidRPr="005430C5">
        <w:rPr>
          <w:rFonts w:ascii="Calibri" w:eastAsia="Times New Roman" w:hAnsi="Calibri" w:cs="Calibri"/>
          <w:iCs w:val="0"/>
          <w:color w:val="0000FF"/>
          <w:sz w:val="27"/>
          <w:szCs w:val="27"/>
          <w:u w:val="single"/>
          <w:lang w:eastAsia="ru-RU"/>
        </w:rPr>
        <w:t>Кримінального</w:t>
      </w:r>
      <w:proofErr w:type="spellEnd"/>
      <w:r w:rsidRPr="005430C5">
        <w:rPr>
          <w:rFonts w:ascii="Calibri" w:eastAsia="Times New Roman" w:hAnsi="Calibri" w:cs="Calibri"/>
          <w:iCs w:val="0"/>
          <w:color w:val="0000FF"/>
          <w:sz w:val="27"/>
          <w:szCs w:val="27"/>
          <w:u w:val="single"/>
          <w:lang w:eastAsia="ru-RU"/>
        </w:rPr>
        <w:t xml:space="preserve"> кодексу</w:t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fldChar w:fldCharType="end"/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 є </w:t>
      </w:r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три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критерії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кваліфікації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кримінального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правопорушення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як мародерства</w:t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:</w:t>
      </w:r>
    </w:p>
    <w:p w14:paraId="14C424D1" w14:textId="77777777" w:rsidR="005430C5" w:rsidRPr="005430C5" w:rsidRDefault="005430C5" w:rsidP="005430C5">
      <w:pPr>
        <w:numPr>
          <w:ilvl w:val="0"/>
          <w:numId w:val="1"/>
        </w:num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чітка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локалізація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місця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вчинення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злочину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-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викрадення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майна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полі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бою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чи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певній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ділянці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де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проводяться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активні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бойові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також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у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зоні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яка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перебуває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під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обстрілами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;</w:t>
      </w:r>
    </w:p>
    <w:p w14:paraId="43C52AB6" w14:textId="77777777" w:rsidR="005430C5" w:rsidRPr="005430C5" w:rsidRDefault="005430C5" w:rsidP="005430C5">
      <w:pPr>
        <w:numPr>
          <w:ilvl w:val="0"/>
          <w:numId w:val="2"/>
        </w:num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викрадення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майна у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вбитих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або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поранених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;</w:t>
      </w:r>
    </w:p>
    <w:p w14:paraId="7E045836" w14:textId="77777777" w:rsidR="005430C5" w:rsidRPr="005430C5" w:rsidRDefault="005430C5" w:rsidP="005430C5">
      <w:pPr>
        <w:numPr>
          <w:ilvl w:val="0"/>
          <w:numId w:val="3"/>
        </w:num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вчинення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кримінального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правопорушення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військовослужбовцем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.</w:t>
      </w:r>
    </w:p>
    <w:p w14:paraId="07B9167E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Без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сукупності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цих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ознак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можна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говорити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наявність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складу мародерства в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діях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винуватого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Якщо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незаконні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особи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були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спрямовані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заволодіння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речами з метою наживи і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відбувалися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без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зазначених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обставин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, то</w:t>
      </w:r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 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такі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дії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можуть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бути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розцінені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як мародерство,</w:t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 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їх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необхідно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кваліфікувати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як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загальнокримінальні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злочини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.</w:t>
      </w:r>
    </w:p>
    <w:p w14:paraId="62A09173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цьому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наголосила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суддя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Касаційного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кримінального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суду у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складі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Верховного Суду Ольга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Булейко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під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час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виступу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Всеукраїнському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семінарі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суддів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місцевих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загальних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апеляційних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судів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«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Злочин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геноциду: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кримінально-правова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кваліфікація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».</w:t>
      </w:r>
    </w:p>
    <w:p w14:paraId="44F8D307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«Для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проблема мародерства стала особливо актуальною з початком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бойових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сході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у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квітні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2014 року», -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наголосила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спікерка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.</w:t>
      </w:r>
    </w:p>
    <w:p w14:paraId="18C47CC0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Вона нагадала, що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відповідальність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за мародерство (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викрадення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полі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бою речей, що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знаходяться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при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вбитих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чи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поранених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)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передбачено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ст. 432 КК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Об'єктом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мародерства є порядок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несення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військової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служби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під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час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ведення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бойових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. </w:t>
      </w:r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Для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об'єктивної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сторони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злочину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 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характерними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є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пов'язані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з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викраденням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речей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вбитих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і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поранених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полі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бою.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Викрадення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може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бути як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таємним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так і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відкритим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із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застосуванням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насильства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чи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без такого.</w:t>
      </w:r>
    </w:p>
    <w:p w14:paraId="44F296FC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Речі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-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це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предмети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обмундирування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і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особисті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речі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убитого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чи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пораненого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(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годинник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гроші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ін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.). До них не належать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озброєння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і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боєприпаси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документи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які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мають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значення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технічні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засоби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ведення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інші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предмети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що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збираються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з метою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подальшого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бойового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застосування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Відповідальність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вчинення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таких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передбачено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іншими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нормами КК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.</w:t>
      </w:r>
    </w:p>
    <w:p w14:paraId="29971518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lastRenderedPageBreak/>
        <w:t xml:space="preserve">Як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зауважила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суддя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ККС ВС,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викрадення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вчиняється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полі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бою,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тобто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ділянці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де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ведуться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або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велися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бойові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Полем бою є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також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ділянка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тилу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яка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піддається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обстрілу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противником. 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Викрадення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речей поза межами поля бою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створює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склад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загальнокримінального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злочину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 </w:t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-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крадіжки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грабежу та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ін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.</w:t>
      </w:r>
    </w:p>
    <w:p w14:paraId="24110181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«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Відповідно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до КК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не є мародерством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заволодіння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речами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здорових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військовослужбовців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Ці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можуть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кваліфікуватись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як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злочини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проти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власності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</w:t>
      </w:r>
      <w:proofErr w:type="gram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Для складу</w:t>
      </w:r>
      <w:proofErr w:type="gram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такого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злочину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як мародерство, не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має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значення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до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якої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армії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належать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вбиті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і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поранені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речі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яких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розкрадалися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полі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бою. Мародерство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передбачає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наміри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винного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обернути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вилучені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речі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у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власне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користування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З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цього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ж моменту,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тобто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коли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винний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отримав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можливість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розпорядитися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вилученою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річчю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своїм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розсудом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мародерство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вважається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закінченим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злочином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», -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роз'яснила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Ольга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Булейко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.</w:t>
      </w:r>
    </w:p>
    <w:p w14:paraId="3B7365CA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Із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суб'єктивної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сторони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 мародерство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передбачає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прямий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умисел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заволодіння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речами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вбитих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і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поранених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передбачає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корисливий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мотив. 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суб'єктом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злочину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є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військовослужбовець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.</w:t>
      </w:r>
    </w:p>
    <w:p w14:paraId="5514CB80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«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Оскільки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згідно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із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КК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мародерство є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військовим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кримінальним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правопорушенням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відповідальність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нього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можуть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нести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лише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військовослужбовці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Збройних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Сил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Служби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безпеки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Державної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прикордонної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служби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Національної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гвардії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інших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формувань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які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були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створені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відповідно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законів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також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військовозобов'язані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резервісти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під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час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проходження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зборів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», -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зазначила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доповідачка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.</w:t>
      </w:r>
    </w:p>
    <w:p w14:paraId="19CFD487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Суддя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зауважила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, що 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під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час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війни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часто мародерством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називають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дії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які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насправді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не є мародерством</w:t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Тому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важливим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є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питання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щодо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відмежування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мародерства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інших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складів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кримінальних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правопорушень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об'єктом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яких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є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суспільні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відносини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власності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(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крадіжка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грабіж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розбій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вимагання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привласнення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розтрата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майна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або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заволодіння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ним шляхом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зловживання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службовим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становищем).</w:t>
      </w:r>
    </w:p>
    <w:p w14:paraId="55190F84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Так,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крадіжкою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відповідальність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gram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 яку</w:t>
      </w:r>
      <w:proofErr w:type="gram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передбачено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ст. 185 КК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є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таємне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викрадення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чужого майна, грабежом -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відкрите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викрадення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чужого майна (ст. 186 КК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). За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розбій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настає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відповідальність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у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разі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нападу з метою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заволодіння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чужим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майном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поєднаного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з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насильством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небезпечним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життя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чи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здоров'я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особи, яка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зазнала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нападу,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або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з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погрозою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застосування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такого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насильства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(ст. 187 КК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).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Вимагання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-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це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вимога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передачі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чужого майна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чи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права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майно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або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вчинення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будь-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яких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майнового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характеру з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погрозою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насильства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над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потерпілим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чи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його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близькими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родичами,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обмеження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прав, свобод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або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законних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інтересів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цих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осіб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пошкодження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чи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знищення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їхнього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майна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або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майна, що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перебуває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в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їхньому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віданні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чи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під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охороною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або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lastRenderedPageBreak/>
        <w:t>розголошення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відомостей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які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потерпілий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чи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його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близькі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родичі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бажають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зберегти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в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таємниці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(ст. 189 КК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).</w:t>
      </w:r>
    </w:p>
    <w:p w14:paraId="3D7517F1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«Варто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мати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увазі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що коло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суспільних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відносин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які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підпадають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під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ознаки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мародерства, є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значно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вужчим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Помилково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називають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мародерством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осіб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які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під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час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воєнного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стану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вчиняють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такі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кримінальні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правопорушення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як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крадіжка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грабіж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розбій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інші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кримінальні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правопорушення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проти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власності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Не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можна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ототожнювати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ці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суспільно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небезпечні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діяння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», -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зазначила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Ольга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Булейко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.</w:t>
      </w:r>
    </w:p>
    <w:p w14:paraId="50243BFC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Верховна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Рада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ухвалила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 </w:t>
      </w:r>
      <w:hyperlink r:id="rId5" w:history="1"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 xml:space="preserve">Закон № 2117-IX «Про </w:t>
        </w:r>
        <w:proofErr w:type="spellStart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>внесення</w:t>
        </w:r>
        <w:proofErr w:type="spellEnd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>змін</w:t>
        </w:r>
        <w:proofErr w:type="spellEnd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 xml:space="preserve"> до </w:t>
        </w:r>
        <w:proofErr w:type="spellStart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>Кримінального</w:t>
        </w:r>
        <w:proofErr w:type="spellEnd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 xml:space="preserve"> кодексу </w:t>
        </w:r>
        <w:proofErr w:type="spellStart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>щодо</w:t>
        </w:r>
        <w:proofErr w:type="spellEnd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>посилення</w:t>
        </w:r>
        <w:proofErr w:type="spellEnd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>відповідальності</w:t>
        </w:r>
        <w:proofErr w:type="spellEnd"/>
        <w:r w:rsidRPr="005430C5">
          <w:rPr>
            <w:rFonts w:ascii="Calibri" w:eastAsia="Times New Roman" w:hAnsi="Calibri" w:cs="Calibri"/>
            <w:iCs w:val="0"/>
            <w:color w:val="0000FF"/>
            <w:sz w:val="27"/>
            <w:szCs w:val="27"/>
            <w:u w:val="single"/>
            <w:lang w:eastAsia="ru-RU"/>
          </w:rPr>
          <w:t xml:space="preserve"> за мародерство»</w:t>
        </w:r>
      </w:hyperlink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Законодавець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установив, що мародерство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карається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позбавленням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волі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gram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 строк</w:t>
      </w:r>
      <w:proofErr w:type="gram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п'яти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до десяти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років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До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внесення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відповідних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змін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мінімальний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строк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позбавлення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волі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становив три роки.</w:t>
      </w:r>
    </w:p>
    <w:p w14:paraId="191E1EAC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Водночас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законодавець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 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доповнив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склади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кримінальних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правопорушень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передбачених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статтями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185 (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крадіжка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), 186 (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грабіж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), 187 (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розбій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), 189 (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вимагання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), 191 (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привласнення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розтрата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майна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або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заволодіння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ним шляхом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зловживання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службовим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становищем) КК, 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кваліфікуючою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ознакою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 -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вчинення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в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умовах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воєнного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або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надзвичайного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стану.</w:t>
      </w:r>
    </w:p>
    <w:p w14:paraId="338B6415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Під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час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кваліфікації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зазначених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кримінальних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правопорушень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як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обставини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яка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обтяжує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покарання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буде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враховуватися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вчинення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кримінальних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правопорушень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в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умовах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воєнного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чи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надзвичайного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стану (п. 11 ч. 1 ст. 67 КК).</w:t>
      </w:r>
    </w:p>
    <w:p w14:paraId="058B4AEE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Суддя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ККС ВС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звернула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увагу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те, що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захоплене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у противника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озброєння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техніка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інше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майно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яке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може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використовуватися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стороною, що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їх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захопила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, є 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військовими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трофеями</w:t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Тому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їх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захоплення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вважається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мародерством.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Такі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трофеї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є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власністю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держави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а не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певних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військовослужбовців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і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після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завершення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їх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потрібно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буде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повернути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державі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Якщо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військове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майно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знайшла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цивільна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особа, вона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зобов'язана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здати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його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правоохоронним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органам.</w:t>
      </w:r>
    </w:p>
    <w:p w14:paraId="4BC64302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«Як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бачимо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, </w:t>
      </w:r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не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всі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злочини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проти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власності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, що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вчиняються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під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час </w:t>
      </w:r>
      <w:proofErr w:type="spellStart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>воєнного</w:t>
      </w:r>
      <w:proofErr w:type="spellEnd"/>
      <w:r w:rsidRPr="005430C5">
        <w:rPr>
          <w:rFonts w:ascii="Calibri" w:eastAsia="Times New Roman" w:hAnsi="Calibri" w:cs="Calibri"/>
          <w:b/>
          <w:bCs/>
          <w:iCs w:val="0"/>
          <w:color w:val="333333"/>
          <w:sz w:val="27"/>
          <w:szCs w:val="27"/>
          <w:lang w:eastAsia="ru-RU"/>
        </w:rPr>
        <w:t xml:space="preserve"> стану, є мародерством</w:t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.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Водночас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кожен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хто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вчинив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певні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незаконні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дії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передбачені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КК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хто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мав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меті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збагатитися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рахунок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чужого майна,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має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бути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притягнутий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відповідальності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відповідно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вимог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КК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України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», -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резюмувала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 xml:space="preserve"> Ольга 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Булейко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.</w:t>
      </w:r>
    </w:p>
    <w:p w14:paraId="1005868F" w14:textId="77777777" w:rsidR="005430C5" w:rsidRPr="005430C5" w:rsidRDefault="005430C5" w:rsidP="005430C5">
      <w:pPr>
        <w:shd w:val="clear" w:color="auto" w:fill="F9F5E9"/>
        <w:spacing w:before="100" w:beforeAutospacing="1" w:after="100" w:afterAutospacing="1" w:line="240" w:lineRule="auto"/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</w:pP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За </w:t>
      </w:r>
      <w:proofErr w:type="spellStart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fldChar w:fldCharType="begin"/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instrText xml:space="preserve"> HYPERLINK "https://supreme.court.gov.ua/supreme/pres-centr/news/1289628/" </w:instrText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fldChar w:fldCharType="separate"/>
      </w:r>
      <w:r w:rsidRPr="005430C5">
        <w:rPr>
          <w:rFonts w:ascii="Calibri" w:eastAsia="Times New Roman" w:hAnsi="Calibri" w:cs="Calibri"/>
          <w:iCs w:val="0"/>
          <w:color w:val="0000FF"/>
          <w:sz w:val="27"/>
          <w:szCs w:val="27"/>
          <w:u w:val="single"/>
          <w:lang w:eastAsia="ru-RU"/>
        </w:rPr>
        <w:t>матеріалами</w:t>
      </w:r>
      <w:proofErr w:type="spellEnd"/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fldChar w:fldCharType="end"/>
      </w:r>
      <w:r w:rsidRPr="005430C5">
        <w:rPr>
          <w:rFonts w:ascii="Calibri" w:eastAsia="Times New Roman" w:hAnsi="Calibri" w:cs="Calibri"/>
          <w:iCs w:val="0"/>
          <w:color w:val="333333"/>
          <w:sz w:val="27"/>
          <w:szCs w:val="27"/>
          <w:lang w:eastAsia="ru-RU"/>
        </w:rPr>
        <w:t> Верховного Суду</w:t>
      </w:r>
    </w:p>
    <w:p w14:paraId="2DBC2119" w14:textId="2B1520F3" w:rsidR="00117903" w:rsidRPr="005430C5" w:rsidRDefault="00117903" w:rsidP="005430C5"/>
    <w:sectPr w:rsidR="00117903" w:rsidRPr="0054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51E42"/>
    <w:multiLevelType w:val="multilevel"/>
    <w:tmpl w:val="194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27FA0"/>
    <w:multiLevelType w:val="multilevel"/>
    <w:tmpl w:val="068E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2102A"/>
    <w:multiLevelType w:val="multilevel"/>
    <w:tmpl w:val="9CE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C5"/>
    <w:rsid w:val="000F231D"/>
    <w:rsid w:val="00117903"/>
    <w:rsid w:val="001D76A7"/>
    <w:rsid w:val="003319EE"/>
    <w:rsid w:val="00432B64"/>
    <w:rsid w:val="0051394D"/>
    <w:rsid w:val="005430C5"/>
    <w:rsid w:val="007A6ECD"/>
    <w:rsid w:val="00CB6428"/>
    <w:rsid w:val="00D75475"/>
    <w:rsid w:val="00D92143"/>
    <w:rsid w:val="00E26CB6"/>
    <w:rsid w:val="00E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B700"/>
  <w15:chartTrackingRefBased/>
  <w15:docId w15:val="{73A2D4D0-1AE6-4E20-ABFD-D098515F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T222117?utm_source=jurliga.ligazakon.net&amp;utm_medium=news&amp;utm_content=jl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Петров</dc:creator>
  <cp:keywords/>
  <dc:description/>
  <cp:lastModifiedBy>Володимир Петров</cp:lastModifiedBy>
  <cp:revision>1</cp:revision>
  <dcterms:created xsi:type="dcterms:W3CDTF">2023-11-27T09:10:00Z</dcterms:created>
  <dcterms:modified xsi:type="dcterms:W3CDTF">2023-11-27T09:14:00Z</dcterms:modified>
</cp:coreProperties>
</file>